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7" w:rsidRPr="009849CA" w:rsidRDefault="003D4A07" w:rsidP="003D4A07">
      <w:pPr>
        <w:pStyle w:val="Ttulo"/>
        <w:rPr>
          <w:rFonts w:ascii="Arial" w:hAnsi="Arial" w:cs="Arial"/>
          <w:bCs/>
          <w:sz w:val="20"/>
          <w:u w:val="single"/>
        </w:rPr>
      </w:pPr>
      <w:r w:rsidRPr="009849CA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132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64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3D4A07" w:rsidRPr="009849CA" w:rsidRDefault="003D4A07" w:rsidP="003D4A07">
      <w:pPr>
        <w:pStyle w:val="Ttulo"/>
        <w:rPr>
          <w:rFonts w:ascii="Arial" w:hAnsi="Arial" w:cs="Arial"/>
          <w:bCs/>
          <w:sz w:val="20"/>
          <w:u w:val="single"/>
        </w:rPr>
      </w:pPr>
    </w:p>
    <w:p w:rsidR="003D4A07" w:rsidRPr="009849CA" w:rsidRDefault="003D4A07" w:rsidP="003D4A07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décimo </w:t>
      </w:r>
      <w:r>
        <w:rPr>
          <w:rFonts w:ascii="Arial" w:hAnsi="Arial" w:cs="Arial"/>
          <w:sz w:val="20"/>
          <w:szCs w:val="20"/>
        </w:rPr>
        <w:t>terceiro</w:t>
      </w:r>
      <w:r w:rsidRPr="009849C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agosto</w:t>
      </w:r>
      <w:r w:rsidRPr="009849C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13/08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="00524291">
        <w:rPr>
          <w:rFonts w:ascii="Arial" w:hAnsi="Arial" w:cs="Arial"/>
          <w:b/>
          <w:sz w:val="20"/>
          <w:szCs w:val="20"/>
        </w:rPr>
        <w:t>FRANCISCO ADIL DE OLIVEIRA E CIA LTDA</w:t>
      </w:r>
      <w:r w:rsidRPr="009849CA">
        <w:rPr>
          <w:rFonts w:ascii="Arial" w:hAnsi="Arial" w:cs="Arial"/>
          <w:sz w:val="20"/>
          <w:szCs w:val="20"/>
        </w:rPr>
        <w:t xml:space="preserve">, inscrito no CNPJ sob nº. </w:t>
      </w:r>
      <w:r w:rsidR="00524291">
        <w:rPr>
          <w:rFonts w:ascii="Arial" w:hAnsi="Arial" w:cs="Arial"/>
          <w:sz w:val="20"/>
          <w:szCs w:val="20"/>
        </w:rPr>
        <w:t>34.142.152/0001-40</w:t>
      </w:r>
      <w:r w:rsidRPr="009849CA">
        <w:rPr>
          <w:rFonts w:ascii="Arial" w:hAnsi="Arial" w:cs="Arial"/>
          <w:sz w:val="20"/>
          <w:szCs w:val="20"/>
        </w:rPr>
        <w:t xml:space="preserve"> com sede na </w:t>
      </w:r>
      <w:r w:rsidR="00524291">
        <w:rPr>
          <w:rFonts w:ascii="Arial" w:hAnsi="Arial" w:cs="Arial"/>
          <w:sz w:val="20"/>
          <w:szCs w:val="20"/>
        </w:rPr>
        <w:t>Avenida José de Souza</w:t>
      </w:r>
      <w:r w:rsidRPr="009849CA">
        <w:rPr>
          <w:rFonts w:ascii="Arial" w:hAnsi="Arial" w:cs="Arial"/>
          <w:sz w:val="20"/>
          <w:szCs w:val="20"/>
        </w:rPr>
        <w:t xml:space="preserve"> - </w:t>
      </w:r>
      <w:r w:rsidR="00524291">
        <w:rPr>
          <w:rFonts w:ascii="Arial" w:hAnsi="Arial" w:cs="Arial"/>
          <w:sz w:val="20"/>
          <w:szCs w:val="20"/>
        </w:rPr>
        <w:t>1130</w:t>
      </w:r>
      <w:r w:rsidRPr="009849CA">
        <w:rPr>
          <w:rFonts w:ascii="Arial" w:hAnsi="Arial" w:cs="Arial"/>
          <w:sz w:val="20"/>
          <w:szCs w:val="20"/>
        </w:rPr>
        <w:t xml:space="preserve"> - Centro – CEP. </w:t>
      </w:r>
      <w:r w:rsidR="00524291">
        <w:rPr>
          <w:rFonts w:ascii="Arial" w:hAnsi="Arial" w:cs="Arial"/>
          <w:sz w:val="20"/>
          <w:szCs w:val="20"/>
        </w:rPr>
        <w:t>86.310-000</w:t>
      </w:r>
      <w:r w:rsidRPr="009849CA">
        <w:rPr>
          <w:rFonts w:ascii="Arial" w:hAnsi="Arial" w:cs="Arial"/>
          <w:sz w:val="20"/>
          <w:szCs w:val="20"/>
        </w:rPr>
        <w:t xml:space="preserve">, na cidade de </w:t>
      </w:r>
      <w:r w:rsidR="00524291">
        <w:rPr>
          <w:rFonts w:ascii="Arial" w:hAnsi="Arial" w:cs="Arial"/>
          <w:sz w:val="20"/>
          <w:szCs w:val="20"/>
        </w:rPr>
        <w:t>Nova Fátima</w:t>
      </w:r>
      <w:r w:rsidRPr="009849CA">
        <w:rPr>
          <w:rFonts w:ascii="Arial" w:hAnsi="Arial" w:cs="Arial"/>
          <w:sz w:val="20"/>
          <w:szCs w:val="20"/>
        </w:rPr>
        <w:t xml:space="preserve"> – PR., Fone: (43) </w:t>
      </w:r>
      <w:r w:rsidR="00524291">
        <w:rPr>
          <w:rFonts w:ascii="Arial" w:hAnsi="Arial" w:cs="Arial"/>
          <w:sz w:val="20"/>
          <w:szCs w:val="20"/>
        </w:rPr>
        <w:t>3552-1000</w:t>
      </w:r>
      <w:r w:rsidRPr="009849CA">
        <w:rPr>
          <w:rFonts w:ascii="Arial" w:hAnsi="Arial" w:cs="Arial"/>
          <w:sz w:val="20"/>
          <w:szCs w:val="20"/>
        </w:rPr>
        <w:t xml:space="preserve"> e-mail </w:t>
      </w:r>
      <w:hyperlink r:id="rId7" w:history="1">
        <w:r w:rsidR="00524291" w:rsidRPr="00D9372F">
          <w:rPr>
            <w:rStyle w:val="Hyperlink"/>
            <w:rFonts w:ascii="Arial" w:hAnsi="Arial" w:cs="Arial"/>
            <w:sz w:val="20"/>
            <w:szCs w:val="20"/>
          </w:rPr>
          <w:t>adilautopecasnfe@hotmail.com</w:t>
        </w:r>
      </w:hyperlink>
      <w:r w:rsidR="00524291">
        <w:t xml:space="preserve"> </w:t>
      </w:r>
      <w:r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 w:rsidR="00B261F1">
        <w:rPr>
          <w:rFonts w:ascii="Arial" w:hAnsi="Arial" w:cs="Arial"/>
          <w:b/>
          <w:sz w:val="20"/>
          <w:szCs w:val="20"/>
        </w:rPr>
        <w:t>FRANCISCO ADIL DE OLIVEIRA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</w:t>
      </w:r>
      <w:r w:rsidR="00B261F1" w:rsidRPr="009849CA">
        <w:rPr>
          <w:rFonts w:ascii="Arial" w:hAnsi="Arial" w:cs="Arial"/>
          <w:sz w:val="20"/>
          <w:szCs w:val="20"/>
        </w:rPr>
        <w:t xml:space="preserve">na </w:t>
      </w:r>
      <w:r w:rsidR="00B261F1">
        <w:rPr>
          <w:rFonts w:ascii="Arial" w:hAnsi="Arial" w:cs="Arial"/>
          <w:sz w:val="20"/>
          <w:szCs w:val="20"/>
        </w:rPr>
        <w:t>Avenida José de Souza</w:t>
      </w:r>
      <w:r w:rsidR="00B261F1" w:rsidRPr="009849CA">
        <w:rPr>
          <w:rFonts w:ascii="Arial" w:hAnsi="Arial" w:cs="Arial"/>
          <w:sz w:val="20"/>
          <w:szCs w:val="20"/>
        </w:rPr>
        <w:t xml:space="preserve"> - </w:t>
      </w:r>
      <w:r w:rsidR="00B261F1">
        <w:rPr>
          <w:rFonts w:ascii="Arial" w:hAnsi="Arial" w:cs="Arial"/>
          <w:sz w:val="20"/>
          <w:szCs w:val="20"/>
        </w:rPr>
        <w:t>1130</w:t>
      </w:r>
      <w:r w:rsidR="00B261F1" w:rsidRPr="009849CA">
        <w:rPr>
          <w:rFonts w:ascii="Arial" w:hAnsi="Arial" w:cs="Arial"/>
          <w:sz w:val="20"/>
          <w:szCs w:val="20"/>
        </w:rPr>
        <w:t xml:space="preserve"> - Centro – CEP. </w:t>
      </w:r>
      <w:r w:rsidR="00B261F1">
        <w:rPr>
          <w:rFonts w:ascii="Arial" w:hAnsi="Arial" w:cs="Arial"/>
          <w:sz w:val="20"/>
          <w:szCs w:val="20"/>
        </w:rPr>
        <w:t>86.310-000</w:t>
      </w:r>
      <w:r w:rsidR="00B261F1" w:rsidRPr="009849CA">
        <w:rPr>
          <w:rFonts w:ascii="Arial" w:hAnsi="Arial" w:cs="Arial"/>
          <w:sz w:val="20"/>
          <w:szCs w:val="20"/>
        </w:rPr>
        <w:t xml:space="preserve">, na cidade de </w:t>
      </w:r>
      <w:r w:rsidR="00B261F1">
        <w:rPr>
          <w:rFonts w:ascii="Arial" w:hAnsi="Arial" w:cs="Arial"/>
          <w:sz w:val="20"/>
          <w:szCs w:val="20"/>
        </w:rPr>
        <w:t>Nova Fátima – PR</w:t>
      </w:r>
      <w:r w:rsidRPr="009849CA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B261F1">
        <w:rPr>
          <w:rFonts w:ascii="Arial" w:hAnsi="Arial" w:cs="Arial"/>
          <w:sz w:val="20"/>
          <w:szCs w:val="20"/>
        </w:rPr>
        <w:t>3.578.822-0</w:t>
      </w:r>
      <w:r w:rsidRPr="009849CA">
        <w:rPr>
          <w:rFonts w:ascii="Arial" w:hAnsi="Arial" w:cs="Arial"/>
          <w:sz w:val="20"/>
          <w:szCs w:val="20"/>
        </w:rPr>
        <w:t xml:space="preserve"> SSP/PR e inscrita sob CPF/MF n.º </w:t>
      </w:r>
      <w:r w:rsidR="00B261F1">
        <w:rPr>
          <w:rFonts w:ascii="Arial" w:hAnsi="Arial" w:cs="Arial"/>
          <w:sz w:val="20"/>
          <w:szCs w:val="20"/>
        </w:rPr>
        <w:t>051.524.778-23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</w:t>
      </w:r>
      <w:r>
        <w:rPr>
          <w:rFonts w:ascii="Arial" w:hAnsi="Arial" w:cs="Arial"/>
          <w:sz w:val="20"/>
          <w:szCs w:val="20"/>
        </w:rPr>
        <w:t>4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3D4A07" w:rsidRPr="009849CA" w:rsidRDefault="003D4A07" w:rsidP="003D4A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D4A07" w:rsidRPr="009849CA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de construção, pintura, elétricos e portões de ferro conforme solicitação do Departamento de Obras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06</w:t>
      </w:r>
      <w:r>
        <w:rPr>
          <w:rFonts w:ascii="Arial" w:hAnsi="Arial" w:cs="Arial"/>
          <w:sz w:val="20"/>
          <w:szCs w:val="20"/>
        </w:rPr>
        <w:t>4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3D4A07" w:rsidRPr="009849CA" w:rsidRDefault="003D4A07" w:rsidP="003D4A07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 responsável pelo recebimento dos produtos será o senhor Pedro Prestes – </w:t>
      </w:r>
      <w:r w:rsidRPr="009849CA">
        <w:rPr>
          <w:rFonts w:ascii="Arial" w:hAnsi="Arial" w:cs="Arial"/>
          <w:b/>
          <w:sz w:val="20"/>
          <w:szCs w:val="20"/>
        </w:rPr>
        <w:t>(43)3551-2599</w:t>
      </w:r>
      <w:r w:rsidRPr="009849CA">
        <w:rPr>
          <w:rFonts w:ascii="Arial" w:hAnsi="Arial" w:cs="Arial"/>
          <w:sz w:val="20"/>
          <w:szCs w:val="20"/>
        </w:rPr>
        <w:t>.</w:t>
      </w:r>
    </w:p>
    <w:p w:rsidR="003D4A07" w:rsidRPr="009849CA" w:rsidRDefault="003D4A07" w:rsidP="003D4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3D4A07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709"/>
        <w:gridCol w:w="709"/>
        <w:gridCol w:w="4678"/>
        <w:gridCol w:w="1134"/>
        <w:gridCol w:w="850"/>
        <w:gridCol w:w="992"/>
      </w:tblGrid>
      <w:tr w:rsidR="003D4A07" w:rsidRPr="003D4A07" w:rsidTr="00524291">
        <w:tc>
          <w:tcPr>
            <w:tcW w:w="675" w:type="dxa"/>
          </w:tcPr>
          <w:p w:rsidR="003D4A07" w:rsidRPr="003D4A07" w:rsidRDefault="003D4A07" w:rsidP="00FA5D6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3D4A07" w:rsidRPr="003D4A07" w:rsidRDefault="003D4A07" w:rsidP="00FA5D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3D4A07" w:rsidRPr="003D4A07" w:rsidRDefault="003D4A07" w:rsidP="00FA5D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4678" w:type="dxa"/>
          </w:tcPr>
          <w:p w:rsidR="003D4A07" w:rsidRPr="003D4A07" w:rsidRDefault="003D4A07" w:rsidP="00FA5D6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:rsidR="003D4A07" w:rsidRPr="003D4A07" w:rsidRDefault="003D4A07" w:rsidP="00FA5D69">
            <w:pPr>
              <w:rPr>
                <w:rFonts w:ascii="Arial" w:hAnsi="Arial" w:cs="Arial"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0" w:type="dxa"/>
          </w:tcPr>
          <w:p w:rsidR="003D4A07" w:rsidRPr="003D4A07" w:rsidRDefault="003D4A07" w:rsidP="00FA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3D4A07" w:rsidRPr="003D4A07" w:rsidRDefault="003D4A07" w:rsidP="00FA5D69">
            <w:pPr>
              <w:rPr>
                <w:rFonts w:ascii="Arial" w:hAnsi="Arial" w:cs="Arial"/>
                <w:sz w:val="16"/>
                <w:szCs w:val="16"/>
              </w:rPr>
            </w:pPr>
            <w:r w:rsidRPr="003D4A0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Pulverizador de costa manual 20 litros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Nove 54</w:t>
            </w:r>
          </w:p>
        </w:tc>
        <w:tc>
          <w:tcPr>
            <w:tcW w:w="850" w:type="dxa"/>
            <w:vAlign w:val="center"/>
          </w:tcPr>
          <w:p w:rsidR="00524291" w:rsidRPr="00524291" w:rsidRDefault="00524291" w:rsidP="00FA5D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24291">
              <w:rPr>
                <w:rFonts w:ascii="Arial" w:hAnsi="Arial" w:cs="Arial"/>
                <w:bCs/>
                <w:sz w:val="20"/>
                <w:szCs w:val="20"/>
              </w:rPr>
              <w:t>Conector RJ45.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</w:t>
            </w:r>
            <w:r w:rsidR="00E972E9">
              <w:rPr>
                <w:rFonts w:ascii="Arial" w:hAnsi="Arial" w:cs="Arial"/>
                <w:sz w:val="20"/>
                <w:szCs w:val="20"/>
              </w:rPr>
              <w:t>,</w:t>
            </w:r>
            <w:r w:rsidRPr="005242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524291" w:rsidRPr="00524291" w:rsidRDefault="00524291" w:rsidP="00E972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i/>
                <w:w w:val="111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 xml:space="preserve">Cotovelo 90° de </w:t>
            </w:r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  <w:r w:rsidRPr="005242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4291">
              <w:rPr>
                <w:rFonts w:ascii="Arial" w:hAnsi="Arial" w:cs="Arial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15,40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Enxadão largo 2.5</w:t>
            </w:r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24291">
              <w:rPr>
                <w:rFonts w:ascii="Arial" w:hAnsi="Arial" w:cs="Arial"/>
                <w:sz w:val="20"/>
                <w:szCs w:val="20"/>
              </w:rPr>
              <w:t>forjado com cabo.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Fuzil</w:t>
            </w: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33,90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169,50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 xml:space="preserve">Luva soldável </w:t>
            </w:r>
            <w:proofErr w:type="spellStart"/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proofErr w:type="gramEnd"/>
            <w:r w:rsidRPr="00524291">
              <w:rPr>
                <w:rFonts w:ascii="Arial" w:hAnsi="Arial" w:cs="Arial"/>
                <w:sz w:val="20"/>
                <w:szCs w:val="20"/>
              </w:rPr>
              <w:t xml:space="preserve"> 50mm.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4291">
              <w:rPr>
                <w:rFonts w:ascii="Arial" w:hAnsi="Arial" w:cs="Arial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61,20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 xml:space="preserve">Luva tapa furo soldável </w:t>
            </w:r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>25mm</w:t>
            </w:r>
            <w:proofErr w:type="gramEnd"/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Estrela</w:t>
            </w: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8,30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166,00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Pá Cortadeira De Bico 210x275mm C/ Cabo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Tramontina</w:t>
            </w: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30,36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121,44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7760B3" w:rsidP="00FA5D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524291" w:rsidRPr="00524291">
                <w:rPr>
                  <w:rFonts w:ascii="Arial" w:hAnsi="Arial" w:cs="Arial"/>
                  <w:sz w:val="16"/>
                  <w:szCs w:val="16"/>
                </w:rPr>
                <w:t>P</w:t>
              </w:r>
            </w:hyperlink>
            <w:r w:rsidR="00524291" w:rsidRPr="00524291">
              <w:rPr>
                <w:rFonts w:ascii="Arial" w:hAnsi="Arial" w:cs="Arial"/>
                <w:sz w:val="16"/>
                <w:szCs w:val="16"/>
              </w:rPr>
              <w:t>arafuso cabeça sextavada rosca soberba de ferro 1/4x50.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4291">
              <w:rPr>
                <w:rFonts w:ascii="Arial" w:hAnsi="Arial" w:cs="Arial"/>
                <w:sz w:val="18"/>
                <w:szCs w:val="18"/>
              </w:rPr>
              <w:t>Vonder</w:t>
            </w:r>
            <w:proofErr w:type="spellEnd"/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galão</w:t>
            </w:r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24291">
              <w:rPr>
                <w:rFonts w:ascii="Arial" w:hAnsi="Arial" w:cs="Arial"/>
                <w:bCs/>
                <w:sz w:val="20"/>
                <w:szCs w:val="20"/>
              </w:rPr>
              <w:t>Solvente 05 litros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4291">
              <w:rPr>
                <w:rFonts w:ascii="Arial" w:hAnsi="Arial" w:cs="Arial"/>
                <w:sz w:val="18"/>
                <w:szCs w:val="18"/>
              </w:rPr>
              <w:t>Petrus</w:t>
            </w:r>
            <w:proofErr w:type="spellEnd"/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31,16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311,60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524291">
              <w:rPr>
                <w:rFonts w:ascii="Arial" w:hAnsi="Arial" w:cs="Arial"/>
                <w:sz w:val="20"/>
                <w:szCs w:val="20"/>
              </w:rPr>
              <w:t>Tesoura de poda 12”</w:t>
            </w:r>
            <w:proofErr w:type="gramEnd"/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291">
              <w:rPr>
                <w:rFonts w:ascii="Arial" w:hAnsi="Arial" w:cs="Arial"/>
                <w:sz w:val="18"/>
                <w:szCs w:val="18"/>
              </w:rPr>
              <w:t>Tramontina</w:t>
            </w: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34,08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102,24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4291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Tijolo comum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4291">
              <w:rPr>
                <w:rFonts w:ascii="Arial" w:hAnsi="Arial" w:cs="Arial"/>
                <w:sz w:val="18"/>
                <w:szCs w:val="18"/>
              </w:rPr>
              <w:t>Triolandia</w:t>
            </w:r>
            <w:proofErr w:type="spellEnd"/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291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992" w:type="dxa"/>
            <w:vAlign w:val="bottom"/>
          </w:tcPr>
          <w:p w:rsidR="00524291" w:rsidRPr="00524291" w:rsidRDefault="005242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291">
              <w:rPr>
                <w:rFonts w:ascii="Arial" w:hAnsi="Arial" w:cs="Arial"/>
                <w:color w:val="000000"/>
                <w:sz w:val="18"/>
                <w:szCs w:val="18"/>
              </w:rPr>
              <w:t>6450,00</w:t>
            </w:r>
          </w:p>
        </w:tc>
      </w:tr>
      <w:tr w:rsidR="00524291" w:rsidRPr="006B2CB7" w:rsidTr="00524291">
        <w:tc>
          <w:tcPr>
            <w:tcW w:w="675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24291" w:rsidRPr="00524291" w:rsidRDefault="00524291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24291" w:rsidRPr="00524291" w:rsidRDefault="00524291" w:rsidP="00FA5D6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4291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524291" w:rsidRPr="00524291" w:rsidRDefault="00524291" w:rsidP="00FA5D6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24291" w:rsidRPr="00524291" w:rsidRDefault="00524291" w:rsidP="00FA5D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24291" w:rsidRPr="00524291" w:rsidRDefault="00E972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7777,39</w:t>
            </w:r>
          </w:p>
        </w:tc>
      </w:tr>
    </w:tbl>
    <w:p w:rsidR="003D4A07" w:rsidRPr="00EE1A8B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lastRenderedPageBreak/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D4A07" w:rsidRPr="00EE1A8B" w:rsidRDefault="003D4A07" w:rsidP="003D4A0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Pr="00EE1A8B">
        <w:rPr>
          <w:rFonts w:ascii="Arial" w:hAnsi="Arial" w:cs="Arial"/>
          <w:b/>
          <w:sz w:val="20"/>
          <w:szCs w:val="20"/>
        </w:rPr>
        <w:t>12/04/2021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D4A07" w:rsidRPr="00EE1A8B" w:rsidRDefault="003D4A07" w:rsidP="003D4A07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 w:rsidR="00524291">
        <w:rPr>
          <w:rFonts w:ascii="Arial" w:hAnsi="Arial" w:cs="Arial"/>
          <w:b/>
          <w:sz w:val="20"/>
          <w:szCs w:val="20"/>
        </w:rPr>
        <w:t>06841-2</w:t>
      </w:r>
      <w:r w:rsidRPr="00EE1A8B">
        <w:rPr>
          <w:rFonts w:ascii="Arial" w:hAnsi="Arial" w:cs="Arial"/>
          <w:b/>
          <w:sz w:val="20"/>
          <w:szCs w:val="20"/>
        </w:rPr>
        <w:t xml:space="preserve"> – Agência </w:t>
      </w:r>
      <w:r w:rsidR="00524291">
        <w:rPr>
          <w:rFonts w:ascii="Arial" w:hAnsi="Arial" w:cs="Arial"/>
          <w:b/>
          <w:sz w:val="20"/>
          <w:szCs w:val="20"/>
        </w:rPr>
        <w:t>068-2</w:t>
      </w:r>
      <w:r w:rsidRPr="00EE1A8B">
        <w:rPr>
          <w:rFonts w:ascii="Arial" w:hAnsi="Arial" w:cs="Arial"/>
          <w:b/>
          <w:sz w:val="20"/>
          <w:szCs w:val="20"/>
        </w:rPr>
        <w:t xml:space="preserve"> – Banco </w:t>
      </w:r>
      <w:r w:rsidR="00524291">
        <w:rPr>
          <w:rFonts w:ascii="Arial" w:hAnsi="Arial" w:cs="Arial"/>
          <w:b/>
          <w:sz w:val="20"/>
          <w:szCs w:val="20"/>
        </w:rPr>
        <w:t>0748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D4A07" w:rsidRPr="00EE1A8B" w:rsidRDefault="003D4A07" w:rsidP="003D4A07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3D4A07" w:rsidRPr="00EE1A8B" w:rsidRDefault="003D4A07" w:rsidP="003D4A07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D4A07" w:rsidRPr="00EE1A8B" w:rsidRDefault="003D4A07" w:rsidP="003D4A07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3D4A07" w:rsidRPr="00EE1A8B" w:rsidRDefault="003D4A07" w:rsidP="003D4A07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3D4A07" w:rsidRPr="00EE1A8B" w:rsidRDefault="003D4A07" w:rsidP="003D4A07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3D4A07" w:rsidRPr="00EE1A8B" w:rsidRDefault="003D4A07" w:rsidP="003D4A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D4A07" w:rsidRPr="00EE1A8B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D4A07" w:rsidRPr="00EE1A8B" w:rsidRDefault="003D4A07" w:rsidP="003D4A07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execução;b)  Emissão e Publicação de Declaração de Inidoneidade em veículo de imprensa regional, estadual e nacional.</w:t>
      </w:r>
    </w:p>
    <w:p w:rsidR="003D4A07" w:rsidRPr="00EE1A8B" w:rsidRDefault="003D4A07" w:rsidP="003D4A0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D4A07" w:rsidRPr="00EE1A8B" w:rsidRDefault="003D4A07" w:rsidP="003D4A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D4A07" w:rsidRPr="00EE1A8B" w:rsidRDefault="003D4A07" w:rsidP="003D4A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3D4A07" w:rsidRPr="00EE1A8B" w:rsidRDefault="003D4A07" w:rsidP="003D4A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3D4A07" w:rsidRPr="00EE1A8B" w:rsidRDefault="003D4A07" w:rsidP="003D4A07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D4A07" w:rsidRPr="00EE1A8B" w:rsidRDefault="003D4A07" w:rsidP="003D4A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3D4A07" w:rsidRPr="00EE1A8B" w:rsidRDefault="003D4A07" w:rsidP="003D4A0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D4A07" w:rsidRPr="00EE1A8B" w:rsidRDefault="003D4A07" w:rsidP="003D4A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D4A07" w:rsidRPr="00EE1A8B" w:rsidRDefault="003D4A07" w:rsidP="003D4A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D4A07" w:rsidRPr="00EE1A8B" w:rsidRDefault="003D4A07" w:rsidP="003D4A07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3D4A07" w:rsidRPr="00EE1A8B" w:rsidRDefault="003D4A07" w:rsidP="003D4A07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3D4A07" w:rsidRPr="00EE1A8B" w:rsidRDefault="003D4A07" w:rsidP="003D4A07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3D4A07" w:rsidRPr="00EE1A8B" w:rsidRDefault="003D4A07" w:rsidP="003D4A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3D4A07" w:rsidRPr="00EE1A8B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D4A07" w:rsidRPr="00EE1A8B" w:rsidRDefault="003D4A07" w:rsidP="003D4A07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D4A07" w:rsidRPr="00EE1A8B" w:rsidRDefault="003D4A07" w:rsidP="003D4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64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3D4A07" w:rsidRPr="00EE1A8B" w:rsidRDefault="003D4A07" w:rsidP="003D4A07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D4A07" w:rsidRPr="00EE1A8B" w:rsidRDefault="003D4A07" w:rsidP="003D4A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D4A07" w:rsidRPr="00EE1A8B" w:rsidRDefault="003D4A07" w:rsidP="003D4A0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3D4A07" w:rsidRPr="00EE1A8B" w:rsidRDefault="003D4A07" w:rsidP="003D4A0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13 de </w:t>
      </w:r>
      <w:r>
        <w:rPr>
          <w:rFonts w:ascii="Arial" w:hAnsi="Arial" w:cs="Arial"/>
          <w:sz w:val="20"/>
          <w:szCs w:val="20"/>
        </w:rPr>
        <w:t>agosto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3D4A07" w:rsidRPr="00EE1A8B" w:rsidRDefault="003D4A07" w:rsidP="003D4A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20"/>
          <w:szCs w:val="20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="00B261F1" w:rsidRPr="00B261F1">
        <w:rPr>
          <w:rFonts w:ascii="Arial" w:hAnsi="Arial" w:cs="Arial"/>
          <w:sz w:val="20"/>
          <w:szCs w:val="20"/>
        </w:rPr>
        <w:t>FRANCISCO ADIL DE OLIVEIRA</w:t>
      </w:r>
      <w:r w:rsidR="00B261F1" w:rsidRPr="00EE1A8B">
        <w:rPr>
          <w:rFonts w:ascii="Arial" w:hAnsi="Arial" w:cs="Arial"/>
          <w:sz w:val="18"/>
          <w:szCs w:val="18"/>
        </w:rPr>
        <w:t xml:space="preserve"> </w:t>
      </w:r>
      <w:r w:rsidRPr="00EE1A8B">
        <w:rPr>
          <w:rFonts w:ascii="Arial" w:hAnsi="Arial" w:cs="Arial"/>
          <w:sz w:val="18"/>
          <w:szCs w:val="18"/>
        </w:rPr>
        <w:t>PREFEITO MUNICIPAL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CPF: </w:t>
      </w:r>
      <w:r w:rsidR="00B261F1">
        <w:rPr>
          <w:rFonts w:ascii="Arial" w:hAnsi="Arial" w:cs="Arial"/>
          <w:sz w:val="20"/>
          <w:szCs w:val="20"/>
        </w:rPr>
        <w:t>051.524.778-23</w:t>
      </w: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D4A07" w:rsidRPr="00EE1A8B" w:rsidTr="00FA5D69">
        <w:tc>
          <w:tcPr>
            <w:tcW w:w="4606" w:type="dxa"/>
          </w:tcPr>
          <w:p w:rsidR="003D4A07" w:rsidRPr="00905B81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D4A07" w:rsidRPr="00905B81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D4A07" w:rsidRPr="006E2ADA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3D4A07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 xml:space="preserve"> CPF/MF 030.393.009-89</w:t>
            </w:r>
          </w:p>
          <w:p w:rsidR="003D4A07" w:rsidRPr="006E2ADA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D4A07" w:rsidRPr="00905B81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A07" w:rsidRPr="00EE1A8B" w:rsidTr="00FA5D69">
        <w:tc>
          <w:tcPr>
            <w:tcW w:w="4606" w:type="dxa"/>
          </w:tcPr>
          <w:p w:rsidR="003D4A07" w:rsidRPr="00EE1A8B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D4A07" w:rsidRPr="00EE1A8B" w:rsidRDefault="003D4A07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3D4A07" w:rsidRDefault="003D4A07" w:rsidP="003D4A07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</w:p>
    <w:p w:rsidR="003D4A07" w:rsidRPr="00EE1A8B" w:rsidRDefault="003D4A07" w:rsidP="003D4A07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3D4A07" w:rsidRPr="00EE1A8B" w:rsidRDefault="003D4A07" w:rsidP="003D4A07">
      <w:pPr>
        <w:rPr>
          <w:rFonts w:ascii="Arial" w:hAnsi="Arial" w:cs="Arial"/>
          <w:sz w:val="18"/>
          <w:szCs w:val="18"/>
        </w:rPr>
      </w:pPr>
    </w:p>
    <w:p w:rsidR="003D4A07" w:rsidRPr="00EE1A8B" w:rsidRDefault="003D4A07" w:rsidP="003D4A07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PEDRO PRESTES</w:t>
      </w:r>
    </w:p>
    <w:p w:rsidR="007760B3" w:rsidRDefault="003D4A07" w:rsidP="00B261F1">
      <w:pPr>
        <w:pStyle w:val="SemEspaamento"/>
      </w:pPr>
      <w:r w:rsidRPr="00EE1A8B">
        <w:rPr>
          <w:rFonts w:ascii="Arial" w:hAnsi="Arial" w:cs="Arial"/>
          <w:sz w:val="18"/>
          <w:szCs w:val="18"/>
        </w:rPr>
        <w:t>SECRETÁRIO DE OBRAS.</w:t>
      </w:r>
    </w:p>
    <w:sectPr w:rsidR="007760B3" w:rsidSect="0059133F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B3" w:rsidRDefault="007760B3" w:rsidP="007760B3">
      <w:pPr>
        <w:spacing w:after="0" w:line="240" w:lineRule="auto"/>
      </w:pPr>
      <w:r>
        <w:separator/>
      </w:r>
    </w:p>
  </w:endnote>
  <w:endnote w:type="continuationSeparator" w:id="1">
    <w:p w:rsidR="007760B3" w:rsidRDefault="007760B3" w:rsidP="0077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972E9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B261F1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B261F1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B3" w:rsidRDefault="007760B3" w:rsidP="007760B3">
      <w:pPr>
        <w:spacing w:after="0" w:line="240" w:lineRule="auto"/>
      </w:pPr>
      <w:r>
        <w:separator/>
      </w:r>
    </w:p>
  </w:footnote>
  <w:footnote w:type="continuationSeparator" w:id="1">
    <w:p w:rsidR="007760B3" w:rsidRDefault="007760B3" w:rsidP="0077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B261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B261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E972E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A07"/>
    <w:rsid w:val="003D4A07"/>
    <w:rsid w:val="00524291"/>
    <w:rsid w:val="007760B3"/>
    <w:rsid w:val="00B261F1"/>
    <w:rsid w:val="00E9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B3"/>
  </w:style>
  <w:style w:type="paragraph" w:styleId="Ttulo2">
    <w:name w:val="heading 2"/>
    <w:basedOn w:val="Normal"/>
    <w:next w:val="Normal"/>
    <w:link w:val="Ttulo2Char"/>
    <w:qFormat/>
    <w:rsid w:val="003D4A0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D4A0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3D4A07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4A07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3D4A0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3D4A07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SemEspaamento">
    <w:name w:val="No Spacing"/>
    <w:link w:val="SemEspaamentoChar"/>
    <w:uiPriority w:val="1"/>
    <w:qFormat/>
    <w:rsid w:val="003D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4A0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D4A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D4A0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3D4A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D4A0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D4A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D4A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D4A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A07"/>
    <w:rPr>
      <w:b/>
      <w:bCs/>
    </w:rPr>
  </w:style>
  <w:style w:type="paragraph" w:styleId="Recuodecorpodetexto">
    <w:name w:val="Body Text Indent"/>
    <w:basedOn w:val="Normal"/>
    <w:link w:val="RecuodecorpodetextoChar"/>
    <w:rsid w:val="003D4A07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A07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3D4A0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3D4A0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D4A0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3D4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A07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3D4A07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3D4A07"/>
  </w:style>
  <w:style w:type="character" w:customStyle="1" w:styleId="sku-productpage1">
    <w:name w:val="sku-productpage1"/>
    <w:basedOn w:val="Fontepargpadro"/>
    <w:rsid w:val="003D4A07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3D4A07"/>
  </w:style>
  <w:style w:type="table" w:styleId="Tabelacomgrade">
    <w:name w:val="Table Grid"/>
    <w:basedOn w:val="Tabelanormal"/>
    <w:uiPriority w:val="39"/>
    <w:rsid w:val="003D4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virtual.com.br/parafusos---fixaca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lautopecasnf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2021-08-13T14:42:00Z</cp:lastPrinted>
  <dcterms:created xsi:type="dcterms:W3CDTF">2021-08-13T14:19:00Z</dcterms:created>
  <dcterms:modified xsi:type="dcterms:W3CDTF">2021-08-16T12:10:00Z</dcterms:modified>
</cp:coreProperties>
</file>