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76508E" w:rsidRPr="001A2990" w:rsidTr="00A85F04">
        <w:trPr>
          <w:trHeight w:val="2843"/>
        </w:trPr>
        <w:tc>
          <w:tcPr>
            <w:tcW w:w="8330" w:type="dxa"/>
          </w:tcPr>
          <w:p w:rsidR="0076508E" w:rsidRPr="00E476C4" w:rsidRDefault="0076508E" w:rsidP="00A85F0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76508E" w:rsidRPr="00F05155" w:rsidRDefault="0076508E" w:rsidP="00A85F04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40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76508E" w:rsidRPr="0076508E" w:rsidRDefault="0076508E" w:rsidP="00A85F0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76508E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L. AMARO DE OLIVEIRA, CNPJ nº. 27.153.491/0001-67.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76508E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76508E">
              <w:rPr>
                <w:rFonts w:cstheme="minorHAnsi"/>
                <w:sz w:val="18"/>
                <w:szCs w:val="18"/>
              </w:rPr>
              <w:t>, conforme solicitação da Secretaria de Educação. Data de assinatura: 17/06/2021,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63"/>
              <w:gridCol w:w="3828"/>
              <w:gridCol w:w="822"/>
              <w:gridCol w:w="642"/>
              <w:gridCol w:w="915"/>
            </w:tblGrid>
            <w:tr w:rsidR="0076508E" w:rsidRPr="007E739C" w:rsidTr="00A85F0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76508E" w:rsidRPr="00F05155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508E" w:rsidRPr="00F05155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F05155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508E" w:rsidRPr="00F05155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F05155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F05155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F05155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76508E" w:rsidRPr="007E739C" w:rsidTr="00A85F0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76508E">
                    <w:rPr>
                      <w:rFonts w:eastAsia="Arial Unicode MS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Fardo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  <w:u w:val="single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  <w:u w:val="single"/>
                    </w:rPr>
                    <w:t>AÇÚCAR CRISTAL</w:t>
                  </w:r>
                  <w:r w:rsidRPr="0076508E">
                    <w:rPr>
                      <w:rFonts w:cstheme="minorHAnsi"/>
                      <w:sz w:val="18"/>
                      <w:szCs w:val="18"/>
                    </w:rPr>
                    <w:t xml:space="preserve">: de acordo com a NTA 52. Contendo no mínimo 99,2% de sacarose originária do suco da cana. Livre de fermentação isenta de matéria terrosa, de parasitas e de detritos animais e vegetais. Cor: branca. Validade mínima: 12 (doze) meses. Embalagem Primária: saco de polietileno atóxico, transparente, resistente, </w:t>
                  </w:r>
                  <w:proofErr w:type="spellStart"/>
                  <w:r w:rsidRPr="0076508E">
                    <w:rPr>
                      <w:rFonts w:cstheme="minorHAnsi"/>
                      <w:sz w:val="18"/>
                      <w:szCs w:val="18"/>
                    </w:rPr>
                    <w:t>termossoldado</w:t>
                  </w:r>
                  <w:proofErr w:type="spellEnd"/>
                  <w:r w:rsidRPr="0076508E">
                    <w:rPr>
                      <w:rFonts w:cstheme="minorHAnsi"/>
                      <w:sz w:val="18"/>
                      <w:szCs w:val="18"/>
                    </w:rPr>
                    <w:t xml:space="preserve">, contendo peso liquido de 05 kg. Embalagem Secundária: fardo de papel </w:t>
                  </w:r>
                  <w:proofErr w:type="spellStart"/>
                  <w:r w:rsidRPr="0076508E">
                    <w:rPr>
                      <w:rFonts w:cstheme="minorHAnsi"/>
                      <w:sz w:val="18"/>
                      <w:szCs w:val="18"/>
                    </w:rPr>
                    <w:t>multifolhado</w:t>
                  </w:r>
                  <w:proofErr w:type="spellEnd"/>
                  <w:r w:rsidRPr="0076508E">
                    <w:rPr>
                      <w:rFonts w:cstheme="minorHAnsi"/>
                      <w:sz w:val="18"/>
                      <w:szCs w:val="18"/>
                    </w:rPr>
                    <w:t xml:space="preserve">, resistente, totalmente fechado com costura resistente ou fardo plástico, atóxico, transparente, resistente, contendo 06 (seis) embalagens primárias fazendo um total de </w:t>
                  </w:r>
                  <w:proofErr w:type="gramStart"/>
                  <w:r w:rsidRPr="0076508E">
                    <w:rPr>
                      <w:rFonts w:cstheme="minorHAnsi"/>
                      <w:sz w:val="18"/>
                      <w:szCs w:val="18"/>
                    </w:rPr>
                    <w:t>30kg</w:t>
                  </w:r>
                  <w:proofErr w:type="gramEnd"/>
                  <w:r w:rsidRPr="0076508E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76508E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Cedro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78,70</w:t>
                  </w: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color w:val="000000"/>
                      <w:sz w:val="18"/>
                      <w:szCs w:val="18"/>
                    </w:rPr>
                    <w:t>10231,00</w:t>
                  </w: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508E" w:rsidRPr="007E739C" w:rsidTr="00A85F0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76508E">
                    <w:rPr>
                      <w:rFonts w:eastAsia="Arial Unicode MS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76508E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 xml:space="preserve">Açúcar cristal - </w:t>
                  </w:r>
                  <w:proofErr w:type="gramStart"/>
                  <w:r w:rsidRPr="0076508E">
                    <w:rPr>
                      <w:rFonts w:cstheme="minorHAnsi"/>
                      <w:sz w:val="18"/>
                      <w:szCs w:val="18"/>
                    </w:rPr>
                    <w:t>5kg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76508E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Cedro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13,59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color w:val="000000"/>
                      <w:sz w:val="18"/>
                      <w:szCs w:val="18"/>
                    </w:rPr>
                    <w:t>4077,00</w:t>
                  </w:r>
                </w:p>
              </w:tc>
            </w:tr>
            <w:tr w:rsidR="0076508E" w:rsidRPr="007E739C" w:rsidTr="00A85F0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76508E">
                    <w:rPr>
                      <w:rFonts w:eastAsia="Arial Unicode MS" w:cstheme="minorHAnsi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  <w:lang w:val="es-ES_tradnl"/>
                    </w:rPr>
                    <w:t>29000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  <w:lang w:val="es-ES_tradnl"/>
                    </w:rPr>
                    <w:t>Litro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eastAsia="Calibri" w:cstheme="minorHAnsi"/>
                      <w:sz w:val="18"/>
                      <w:szCs w:val="18"/>
                      <w:u w:val="single"/>
                    </w:rPr>
                    <w:t>LEITE INTEGRAL</w:t>
                  </w:r>
                  <w:r w:rsidRPr="0076508E">
                    <w:rPr>
                      <w:rFonts w:eastAsia="Calibri" w:cstheme="minorHAnsi"/>
                      <w:sz w:val="18"/>
                      <w:szCs w:val="18"/>
                    </w:rPr>
                    <w:t xml:space="preserve"> acondicionado na embalagem tetra </w:t>
                  </w:r>
                  <w:proofErr w:type="spellStart"/>
                  <w:r w:rsidRPr="0076508E">
                    <w:rPr>
                      <w:rFonts w:eastAsia="Calibri" w:cstheme="minorHAnsi"/>
                      <w:sz w:val="18"/>
                      <w:szCs w:val="18"/>
                    </w:rPr>
                    <w:t>brick</w:t>
                  </w:r>
                  <w:proofErr w:type="spellEnd"/>
                  <w:r w:rsidRPr="0076508E">
                    <w:rPr>
                      <w:rFonts w:eastAsia="Calibri" w:cstheme="minorHAnsi"/>
                      <w:sz w:val="18"/>
                      <w:szCs w:val="18"/>
                    </w:rPr>
                    <w:t xml:space="preserve"> de 01 litro, contendo externamente os dados de identificação, procedência, informação nutricional, número de lote, data de validade, quantidade de produto, numero de registro no Ministério da </w:t>
                  </w:r>
                  <w:proofErr w:type="spellStart"/>
                  <w:r w:rsidRPr="0076508E">
                    <w:rPr>
                      <w:rFonts w:eastAsia="Calibri" w:cstheme="minorHAnsi"/>
                      <w:sz w:val="18"/>
                      <w:szCs w:val="18"/>
                    </w:rPr>
                    <w:t>Agriculturae</w:t>
                  </w:r>
                  <w:proofErr w:type="spellEnd"/>
                  <w:r w:rsidRPr="0076508E">
                    <w:rPr>
                      <w:rFonts w:eastAsia="Calibri" w:cstheme="minorHAnsi"/>
                      <w:sz w:val="18"/>
                      <w:szCs w:val="18"/>
                    </w:rPr>
                    <w:t xml:space="preserve"> do Regulamento da inspeção industrial e sanitária de produtos de origem animal do Ministério da Agricultura, apresentar cor, sabor e odor próprio. Validade mínima de </w:t>
                  </w:r>
                  <w:proofErr w:type="gramStart"/>
                  <w:r w:rsidRPr="0076508E">
                    <w:rPr>
                      <w:rFonts w:eastAsia="Calibri" w:cstheme="minorHAnsi"/>
                      <w:sz w:val="18"/>
                      <w:szCs w:val="18"/>
                    </w:rPr>
                    <w:t>5</w:t>
                  </w:r>
                  <w:proofErr w:type="gramEnd"/>
                  <w:r w:rsidRPr="0076508E">
                    <w:rPr>
                      <w:rFonts w:eastAsia="Calibri" w:cstheme="minorHAnsi"/>
                      <w:sz w:val="18"/>
                      <w:szCs w:val="18"/>
                    </w:rPr>
                    <w:t xml:space="preserve"> meses da entrega na unidade. (RESERVA DE COTA MPE)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76508E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Líder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3,80</w:t>
                  </w: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color w:val="000000"/>
                      <w:sz w:val="18"/>
                      <w:szCs w:val="18"/>
                    </w:rPr>
                    <w:t>110200,00</w:t>
                  </w: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508E" w:rsidRPr="007E739C" w:rsidTr="00A85F0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76508E">
                    <w:rPr>
                      <w:rFonts w:eastAsia="Arial Unicode MS" w:cstheme="minorHAnsi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 xml:space="preserve">Caixa 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508E" w:rsidRPr="0076508E" w:rsidRDefault="0076508E" w:rsidP="00A85F0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eastAsia="TimesNewRoman" w:cstheme="minorHAnsi"/>
                      <w:sz w:val="18"/>
                      <w:szCs w:val="18"/>
                      <w:u w:val="single"/>
                    </w:rPr>
                    <w:t>ÓLEO DE SOJA REFINADO</w:t>
                  </w:r>
                  <w:r w:rsidRPr="0076508E">
                    <w:rPr>
                      <w:rFonts w:eastAsia="TimesNewRoman" w:cstheme="minorHAnsi"/>
                      <w:sz w:val="18"/>
                      <w:szCs w:val="18"/>
                    </w:rPr>
                    <w:t xml:space="preserve"> – óleo refinado de soja, embalagem em frasco plástico de 900 ml acondicionados em caixa de 20 frascos. Prazo de validade mínimo de 10 meses, constando no rótulo a composição nutricional para 100 ml</w:t>
                  </w:r>
                  <w:r w:rsidRPr="0076508E">
                    <w:rPr>
                      <w:rFonts w:eastAsia="Calibri" w:cstheme="minorHAnsi"/>
                      <w:sz w:val="18"/>
                      <w:szCs w:val="18"/>
                    </w:rPr>
                    <w:t>– cx 20x900ml.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508E" w:rsidRPr="0076508E" w:rsidRDefault="0076508E" w:rsidP="00A85F0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Cocamar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sz w:val="18"/>
                      <w:szCs w:val="18"/>
                    </w:rPr>
                    <w:t>133,66</w:t>
                  </w: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76508E">
                    <w:rPr>
                      <w:rFonts w:cstheme="minorHAnsi"/>
                      <w:color w:val="000000"/>
                      <w:sz w:val="18"/>
                      <w:szCs w:val="18"/>
                    </w:rPr>
                    <w:t>12697,70</w:t>
                  </w:r>
                </w:p>
                <w:p w:rsid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76508E" w:rsidRPr="0076508E" w:rsidRDefault="0076508E" w:rsidP="00A85F0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6508E" w:rsidRPr="00D46645" w:rsidRDefault="0076508E" w:rsidP="00A85F04">
            <w:pPr>
              <w:pStyle w:val="SemEspaamento"/>
              <w:jc w:val="both"/>
            </w:pPr>
          </w:p>
        </w:tc>
      </w:tr>
    </w:tbl>
    <w:p w:rsidR="0076508E" w:rsidRDefault="0076508E" w:rsidP="0076508E"/>
    <w:p w:rsidR="0076508E" w:rsidRDefault="0076508E" w:rsidP="0076508E"/>
    <w:p w:rsidR="0076508E" w:rsidRDefault="0076508E" w:rsidP="0076508E"/>
    <w:p w:rsidR="0076508E" w:rsidRDefault="0076508E" w:rsidP="0076508E"/>
    <w:p w:rsidR="0076508E" w:rsidRDefault="0076508E" w:rsidP="0076508E"/>
    <w:p w:rsidR="0076508E" w:rsidRDefault="0076508E" w:rsidP="0076508E"/>
    <w:p w:rsidR="00000000" w:rsidRDefault="0076508E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6508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6508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6508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6508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6508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6508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6508E"/>
    <w:rsid w:val="0076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50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6508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6508E"/>
  </w:style>
  <w:style w:type="paragraph" w:styleId="Cabealho">
    <w:name w:val="header"/>
    <w:basedOn w:val="Normal"/>
    <w:link w:val="CabealhoChar"/>
    <w:rsid w:val="007650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6508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650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650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650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2021-07-01T19:10:00Z</dcterms:created>
  <dcterms:modified xsi:type="dcterms:W3CDTF">2021-07-01T19:13:00Z</dcterms:modified>
</cp:coreProperties>
</file>