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2C" w:rsidRPr="00C95177" w:rsidRDefault="00BF3D2C" w:rsidP="00BF3D2C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01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8</w:t>
      </w: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/2020 - ATA REGISTRO DE PREÇOS N.º 05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4</w:t>
      </w: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/2020.</w:t>
      </w:r>
    </w:p>
    <w:p w:rsidR="008D4ADE" w:rsidRDefault="00BF3D2C" w:rsidP="00BF3D2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E32F4">
        <w:rPr>
          <w:rFonts w:asciiTheme="minorHAnsi" w:hAnsiTheme="minorHAnsi" w:cstheme="minorHAnsi"/>
          <w:sz w:val="22"/>
          <w:szCs w:val="22"/>
        </w:rPr>
        <w:t> </w:t>
      </w:r>
      <w:r w:rsidRPr="00AF47A0">
        <w:rPr>
          <w:rFonts w:asciiTheme="minorHAnsi" w:hAnsiTheme="minorHAnsi" w:cstheme="minorHAnsi"/>
          <w:sz w:val="22"/>
          <w:szCs w:val="22"/>
        </w:rPr>
        <w:t xml:space="preserve">Aos dezesseis dias do mês de junho de 2020 o Município de Ribeirão do Pinhal – Estado do Paraná, Inscrito sob CNPJ n.º 76.968.064/0001-42, com sede a Rua Paraná n.º 983 – Centro, neste ato representado pelo Prefeito Municipal, o Senhor </w:t>
      </w:r>
      <w:r w:rsidRPr="00AF47A0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AF47A0">
        <w:rPr>
          <w:rFonts w:asciiTheme="minorHAnsi" w:hAnsiTheme="minorHAnsi" w:cstheme="minorHAnsi"/>
          <w:sz w:val="22"/>
          <w:szCs w:val="22"/>
        </w:rPr>
        <w:t>, inscrito sob CPF/MF n.º 052.206.749-27, brasileiro</w:t>
      </w:r>
      <w:r w:rsidRPr="00AF47A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F47A0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AF47A0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AF47A0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BF3D2C">
        <w:rPr>
          <w:rFonts w:ascii="Tahoma" w:hAnsi="Tahoma" w:cs="Tahoma"/>
          <w:b/>
          <w:sz w:val="20"/>
          <w:szCs w:val="20"/>
        </w:rPr>
        <w:t>ARTHUR PASSGNOLI BATISTA 09156262922</w:t>
      </w:r>
      <w:r w:rsidRPr="00AF47A0">
        <w:rPr>
          <w:rFonts w:asciiTheme="minorHAnsi" w:hAnsiTheme="minorHAnsi" w:cstheme="minorHAnsi"/>
          <w:sz w:val="22"/>
          <w:szCs w:val="22"/>
        </w:rPr>
        <w:t xml:space="preserve">, inscrita no CNPJ sob nº. </w:t>
      </w:r>
      <w:r w:rsidRPr="003525BA">
        <w:rPr>
          <w:rFonts w:ascii="Tahoma" w:hAnsi="Tahoma" w:cs="Tahoma"/>
          <w:sz w:val="20"/>
          <w:szCs w:val="20"/>
        </w:rPr>
        <w:t>34.132.125/0001-97</w:t>
      </w:r>
      <w:r>
        <w:rPr>
          <w:rFonts w:ascii="Tahoma" w:hAnsi="Tahoma" w:cs="Tahoma"/>
          <w:sz w:val="20"/>
          <w:szCs w:val="20"/>
        </w:rPr>
        <w:t xml:space="preserve"> </w:t>
      </w:r>
      <w:r w:rsidRPr="00AF47A0">
        <w:rPr>
          <w:rFonts w:asciiTheme="minorHAnsi" w:hAnsiTheme="minorHAnsi" w:cstheme="minorHAnsi"/>
          <w:sz w:val="22"/>
          <w:szCs w:val="22"/>
        </w:rPr>
        <w:t xml:space="preserve">com sede na Rua </w:t>
      </w:r>
      <w:r>
        <w:rPr>
          <w:rFonts w:asciiTheme="minorHAnsi" w:hAnsiTheme="minorHAnsi" w:cstheme="minorHAnsi"/>
          <w:sz w:val="22"/>
          <w:szCs w:val="22"/>
        </w:rPr>
        <w:t>José Norberto Antunes</w:t>
      </w:r>
      <w:r w:rsidRPr="00AF47A0">
        <w:rPr>
          <w:rFonts w:asciiTheme="minorHAnsi" w:hAnsiTheme="minorHAnsi" w:cstheme="minorHAnsi"/>
          <w:sz w:val="22"/>
          <w:szCs w:val="22"/>
        </w:rPr>
        <w:t xml:space="preserve"> – 1</w:t>
      </w:r>
      <w:r>
        <w:rPr>
          <w:rFonts w:asciiTheme="minorHAnsi" w:hAnsiTheme="minorHAnsi" w:cstheme="minorHAnsi"/>
          <w:sz w:val="22"/>
          <w:szCs w:val="22"/>
        </w:rPr>
        <w:t>27</w:t>
      </w:r>
      <w:r w:rsidRPr="00AF47A0">
        <w:rPr>
          <w:rFonts w:asciiTheme="minorHAnsi" w:hAnsiTheme="minorHAnsi" w:cstheme="minorHAnsi"/>
          <w:sz w:val="22"/>
          <w:szCs w:val="22"/>
        </w:rPr>
        <w:t xml:space="preserve"> - Centro – CEP: </w:t>
      </w:r>
      <w:r>
        <w:rPr>
          <w:rFonts w:asciiTheme="minorHAnsi" w:hAnsiTheme="minorHAnsi" w:cstheme="minorHAnsi"/>
          <w:sz w:val="22"/>
          <w:szCs w:val="22"/>
        </w:rPr>
        <w:t>86.330-000</w:t>
      </w:r>
      <w:r w:rsidRPr="00AF47A0">
        <w:rPr>
          <w:rFonts w:asciiTheme="minorHAnsi" w:hAnsiTheme="minorHAnsi" w:cstheme="minorHAnsi"/>
          <w:sz w:val="22"/>
          <w:szCs w:val="22"/>
        </w:rPr>
        <w:t xml:space="preserve"> na cidade de </w:t>
      </w:r>
      <w:proofErr w:type="spellStart"/>
      <w:r>
        <w:rPr>
          <w:rFonts w:asciiTheme="minorHAnsi" w:hAnsiTheme="minorHAnsi" w:cstheme="minorHAnsi"/>
          <w:sz w:val="22"/>
          <w:szCs w:val="22"/>
        </w:rPr>
        <w:t>Leópolis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- Paraná</w:t>
      </w:r>
      <w:r w:rsidRPr="00AF47A0">
        <w:rPr>
          <w:rFonts w:asciiTheme="minorHAnsi" w:hAnsiTheme="minorHAnsi" w:cstheme="minorHAnsi"/>
          <w:sz w:val="22"/>
          <w:szCs w:val="22"/>
        </w:rPr>
        <w:t>, neste ato representado pel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AF47A0">
        <w:rPr>
          <w:rFonts w:asciiTheme="minorHAnsi" w:hAnsiTheme="minorHAnsi" w:cstheme="minorHAnsi"/>
          <w:sz w:val="22"/>
          <w:szCs w:val="22"/>
        </w:rPr>
        <w:t xml:space="preserve"> Senhor </w:t>
      </w:r>
      <w:r w:rsidRPr="00BF3D2C">
        <w:rPr>
          <w:rFonts w:ascii="Tahoma" w:hAnsi="Tahoma" w:cs="Tahoma"/>
          <w:b/>
          <w:sz w:val="20"/>
          <w:szCs w:val="20"/>
        </w:rPr>
        <w:t>ARTHUR PASSGNOLI BATISTA</w:t>
      </w:r>
      <w:r w:rsidRPr="00AF47A0">
        <w:rPr>
          <w:rFonts w:asciiTheme="minorHAnsi" w:hAnsiTheme="minorHAnsi" w:cstheme="minorHAnsi"/>
          <w:sz w:val="22"/>
          <w:szCs w:val="22"/>
        </w:rPr>
        <w:t>, brasileir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AF47A0">
        <w:rPr>
          <w:rFonts w:asciiTheme="minorHAnsi" w:hAnsiTheme="minorHAnsi" w:cstheme="minorHAnsi"/>
          <w:sz w:val="22"/>
          <w:szCs w:val="22"/>
        </w:rPr>
        <w:t>,</w:t>
      </w:r>
    </w:p>
    <w:p w:rsidR="00BF3D2C" w:rsidRPr="00AF47A0" w:rsidRDefault="00BF3D2C" w:rsidP="00BF3D2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AF47A0">
        <w:rPr>
          <w:rFonts w:asciiTheme="minorHAnsi" w:hAnsiTheme="minorHAnsi" w:cstheme="minorHAnsi"/>
          <w:sz w:val="22"/>
          <w:szCs w:val="22"/>
        </w:rPr>
        <w:t xml:space="preserve"> empresári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AF47A0">
        <w:rPr>
          <w:rFonts w:asciiTheme="minorHAnsi" w:hAnsiTheme="minorHAnsi" w:cstheme="minorHAnsi"/>
          <w:sz w:val="22"/>
          <w:szCs w:val="22"/>
        </w:rPr>
        <w:t xml:space="preserve">, portador de Cédula de Identidade n.º </w:t>
      </w:r>
      <w:r>
        <w:rPr>
          <w:rFonts w:asciiTheme="minorHAnsi" w:hAnsiTheme="minorHAnsi" w:cstheme="minorHAnsi"/>
          <w:sz w:val="22"/>
          <w:szCs w:val="22"/>
        </w:rPr>
        <w:t>10899195-0</w:t>
      </w:r>
      <w:r w:rsidRPr="00AF47A0">
        <w:rPr>
          <w:rFonts w:asciiTheme="minorHAnsi" w:hAnsiTheme="minorHAnsi" w:cstheme="minorHAnsi"/>
          <w:sz w:val="22"/>
          <w:szCs w:val="22"/>
        </w:rPr>
        <w:t xml:space="preserve"> S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F47A0">
        <w:rPr>
          <w:rFonts w:asciiTheme="minorHAnsi" w:hAnsiTheme="minorHAnsi" w:cstheme="minorHAnsi"/>
          <w:sz w:val="22"/>
          <w:szCs w:val="22"/>
        </w:rPr>
        <w:t>SP/P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AF47A0">
        <w:rPr>
          <w:rFonts w:asciiTheme="minorHAnsi" w:hAnsiTheme="minorHAnsi" w:cstheme="minorHAnsi"/>
          <w:sz w:val="22"/>
          <w:szCs w:val="22"/>
        </w:rPr>
        <w:t xml:space="preserve"> e inscrit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AF47A0">
        <w:rPr>
          <w:rFonts w:asciiTheme="minorHAnsi" w:hAnsiTheme="minorHAnsi" w:cstheme="minorHAnsi"/>
          <w:sz w:val="22"/>
          <w:szCs w:val="22"/>
        </w:rPr>
        <w:t xml:space="preserve"> sob CPF/MF n.º </w:t>
      </w:r>
      <w:r>
        <w:rPr>
          <w:rFonts w:asciiTheme="minorHAnsi" w:hAnsiTheme="minorHAnsi" w:cstheme="minorHAnsi"/>
          <w:sz w:val="22"/>
          <w:szCs w:val="22"/>
        </w:rPr>
        <w:t>091.562.629-22</w:t>
      </w:r>
      <w:r w:rsidRPr="00AF47A0">
        <w:rPr>
          <w:rFonts w:asciiTheme="minorHAnsi" w:hAnsiTheme="minorHAnsi" w:cstheme="minorHAnsi"/>
          <w:sz w:val="22"/>
          <w:szCs w:val="22"/>
        </w:rPr>
        <w:t>, Fone: (</w:t>
      </w:r>
      <w:r>
        <w:rPr>
          <w:rFonts w:asciiTheme="minorHAnsi" w:hAnsiTheme="minorHAnsi" w:cstheme="minorHAnsi"/>
          <w:sz w:val="22"/>
          <w:szCs w:val="22"/>
        </w:rPr>
        <w:t>43</w:t>
      </w:r>
      <w:r w:rsidRPr="00AF47A0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3523-2510</w:t>
      </w:r>
      <w:r w:rsidRPr="00AF47A0">
        <w:rPr>
          <w:rFonts w:asciiTheme="minorHAnsi" w:hAnsiTheme="minorHAnsi" w:cstheme="minorHAnsi"/>
          <w:sz w:val="22"/>
          <w:szCs w:val="22"/>
        </w:rPr>
        <w:t xml:space="preserve"> e-mail </w:t>
      </w:r>
      <w:hyperlink r:id="rId7" w:history="1">
        <w:r w:rsidRPr="00671E58">
          <w:rPr>
            <w:rStyle w:val="Hyperlink"/>
            <w:rFonts w:asciiTheme="minorHAnsi" w:hAnsiTheme="minorHAnsi" w:cstheme="minorHAnsi"/>
            <w:sz w:val="22"/>
            <w:szCs w:val="22"/>
          </w:rPr>
          <w:t>apbcomercial19@gmail.com</w:t>
        </w:r>
      </w:hyperlink>
      <w:r w:rsidRPr="00AF47A0">
        <w:rPr>
          <w:rFonts w:asciiTheme="minorHAnsi" w:hAnsiTheme="minorHAnsi" w:cstheme="minorHAnsi"/>
          <w:sz w:val="22"/>
          <w:szCs w:val="22"/>
        </w:rPr>
        <w:t xml:space="preserve"> neste ato simplesmente denominado </w:t>
      </w:r>
      <w:r w:rsidRPr="00AF47A0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AF47A0">
        <w:rPr>
          <w:rFonts w:asciiTheme="minorHAnsi" w:hAnsiTheme="minorHAnsi" w:cstheme="minorHAnsi"/>
          <w:sz w:val="22"/>
          <w:szCs w:val="22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018/2020, consoante as seguintes cláusulas e condições.</w:t>
      </w:r>
    </w:p>
    <w:p w:rsidR="00BF3D2C" w:rsidRPr="00C95177" w:rsidRDefault="00BF3D2C" w:rsidP="00BF3D2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BF3D2C" w:rsidRPr="00C95177" w:rsidRDefault="00BF3D2C" w:rsidP="00BF3D2C">
      <w:pPr>
        <w:jc w:val="both"/>
        <w:rPr>
          <w:rFonts w:cstheme="minorHAnsi"/>
        </w:rPr>
      </w:pPr>
      <w:proofErr w:type="gramStart"/>
      <w:r w:rsidRPr="00C95177">
        <w:rPr>
          <w:rFonts w:cstheme="minorHAnsi"/>
        </w:rPr>
        <w:t>A presente</w:t>
      </w:r>
      <w:proofErr w:type="gramEnd"/>
      <w:r w:rsidRPr="00C95177">
        <w:rPr>
          <w:rFonts w:cstheme="minorHAnsi"/>
        </w:rPr>
        <w:t xml:space="preserve"> Ata tem por objeto o</w:t>
      </w:r>
      <w:r>
        <w:rPr>
          <w:rFonts w:ascii="Tahoma" w:hAnsi="Tahoma" w:cs="Tahoma"/>
          <w:sz w:val="20"/>
        </w:rPr>
        <w:t xml:space="preserve"> registro de preços para possível aquisição</w:t>
      </w:r>
      <w:r w:rsidRPr="00AC58F9">
        <w:rPr>
          <w:rFonts w:ascii="Tahoma" w:hAnsi="Tahoma" w:cs="Tahoma"/>
          <w:sz w:val="20"/>
        </w:rPr>
        <w:t xml:space="preserve"> de </w:t>
      </w:r>
      <w:r>
        <w:rPr>
          <w:rFonts w:ascii="Tahoma" w:hAnsi="Tahoma" w:cs="Tahoma"/>
          <w:sz w:val="20"/>
        </w:rPr>
        <w:t>materiais para artesanato conforme solicitação da Secretaria de Assistência Social</w:t>
      </w:r>
      <w:r w:rsidRPr="00C95177">
        <w:rPr>
          <w:rFonts w:cstheme="minorHAnsi"/>
        </w:rPr>
        <w:t xml:space="preserve">, conforme consta na proposta anexada ao Processo Licitatório Modalidade Pregão Presencial, registrado sob n.º </w:t>
      </w:r>
      <w:r w:rsidRPr="00C95177">
        <w:rPr>
          <w:rFonts w:cstheme="minorHAnsi"/>
          <w:b/>
        </w:rPr>
        <w:t>01</w:t>
      </w:r>
      <w:r>
        <w:rPr>
          <w:rFonts w:cstheme="minorHAnsi"/>
          <w:b/>
        </w:rPr>
        <w:t>8</w:t>
      </w:r>
      <w:r w:rsidRPr="00C95177">
        <w:rPr>
          <w:rFonts w:cstheme="minorHAnsi"/>
          <w:b/>
        </w:rPr>
        <w:t>/2020</w:t>
      </w:r>
      <w:r w:rsidRPr="00C95177">
        <w:rPr>
          <w:rFonts w:cstheme="minorHAnsi"/>
        </w:rPr>
        <w:t>, a qual fará parte integrante deste instrumento</w:t>
      </w:r>
      <w:r>
        <w:rPr>
          <w:rFonts w:cstheme="minorHAnsi"/>
        </w:rPr>
        <w:t>.</w:t>
      </w:r>
    </w:p>
    <w:p w:rsidR="00BF3D2C" w:rsidRDefault="00BF3D2C" w:rsidP="00BF3D2C">
      <w:pPr>
        <w:jc w:val="both"/>
        <w:rPr>
          <w:rFonts w:cstheme="minorHAnsi"/>
        </w:rPr>
      </w:pPr>
      <w:r w:rsidRPr="00C95177">
        <w:rPr>
          <w:rFonts w:cstheme="minorHAnsi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BF3D2C" w:rsidRPr="00C95177" w:rsidRDefault="00BF3D2C" w:rsidP="00BF3D2C">
      <w:pPr>
        <w:rPr>
          <w:rFonts w:cstheme="minorHAnsi"/>
          <w:b/>
        </w:rPr>
      </w:pPr>
      <w:r w:rsidRPr="00C95177">
        <w:rPr>
          <w:rFonts w:cstheme="minorHAnsi"/>
          <w:b/>
          <w:u w:val="single"/>
        </w:rPr>
        <w:t>CLÁUSULA SEGUNDA</w:t>
      </w:r>
      <w:r w:rsidRPr="00C95177">
        <w:rPr>
          <w:rFonts w:cstheme="minorHAnsi"/>
          <w:b/>
        </w:rPr>
        <w:t xml:space="preserve"> – DA VIGÊNCIA, PRAZO E CONDIÇÕES DE ENTREGA</w:t>
      </w:r>
      <w:r>
        <w:rPr>
          <w:rFonts w:cstheme="minorHAnsi"/>
          <w:b/>
        </w:rPr>
        <w:t>.</w:t>
      </w:r>
      <w:r w:rsidRPr="00C95177">
        <w:rPr>
          <w:rFonts w:cstheme="minorHAnsi"/>
          <w:b/>
        </w:rPr>
        <w:t> 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de Registro de Preços terá a vigência </w:t>
      </w:r>
      <w:r w:rsidRPr="00C95177">
        <w:rPr>
          <w:rFonts w:asciiTheme="minorHAnsi" w:hAnsiTheme="minorHAnsi" w:cstheme="minorHAnsi"/>
          <w:b/>
          <w:sz w:val="22"/>
          <w:szCs w:val="22"/>
        </w:rPr>
        <w:t>até 31/12/2020</w:t>
      </w:r>
      <w:r w:rsidRPr="00C95177">
        <w:rPr>
          <w:rFonts w:asciiTheme="minorHAnsi" w:hAnsiTheme="minorHAnsi" w:cstheme="minorHAnsi"/>
          <w:sz w:val="22"/>
          <w:szCs w:val="22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03. O Município não está obrigado a adquirir uma quantidade mínima do produto, ficando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exclusivo critério a definição da quantidade e do momento da aquisição.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reexecução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, no prazo máximo de 03 (três) dias úteis, sem prejuízo da aplicação das penalidades cabíveis.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lastRenderedPageBreak/>
        <w:t>05. O (s) bem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ens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>) objeto deste edital deverá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>) ser entregue (s) acompanhado (s) de nota (s) fiscal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BF3D2C" w:rsidRPr="00C95177" w:rsidRDefault="00BF3D2C" w:rsidP="00BF3D2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BF3D2C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Os valores para aquisição do objeto do Processo são os que constam na proposta enviada pela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</w:t>
      </w:r>
      <w:r w:rsidRPr="00C95177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tbl>
      <w:tblPr>
        <w:tblW w:w="17153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708"/>
        <w:gridCol w:w="5529"/>
        <w:gridCol w:w="992"/>
        <w:gridCol w:w="709"/>
        <w:gridCol w:w="992"/>
        <w:gridCol w:w="2552"/>
        <w:gridCol w:w="1134"/>
        <w:gridCol w:w="1134"/>
        <w:gridCol w:w="1134"/>
        <w:gridCol w:w="1134"/>
      </w:tblGrid>
      <w:tr w:rsidR="00BF3D2C" w:rsidRPr="00DE3E01" w:rsidTr="00BF3D2C">
        <w:trPr>
          <w:gridAfter w:val="5"/>
          <w:wAfter w:w="7088" w:type="dxa"/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D2C" w:rsidRPr="00DE3E01" w:rsidRDefault="00BF3D2C" w:rsidP="00215FB3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DE3E01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D2C" w:rsidRPr="00DE3E01" w:rsidRDefault="00BF3D2C" w:rsidP="00215FB3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DE3E01">
              <w:rPr>
                <w:rFonts w:ascii="Tahoma" w:hAnsi="Tahoma" w:cs="Tahoma"/>
                <w:b/>
                <w:sz w:val="14"/>
                <w:szCs w:val="14"/>
              </w:rPr>
              <w:t>QTDE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D2C" w:rsidRPr="00DE3E01" w:rsidRDefault="00BF3D2C" w:rsidP="00215FB3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DE3E01">
              <w:rPr>
                <w:rFonts w:ascii="Tahoma" w:hAnsi="Tahoma" w:cs="Tahoma"/>
                <w:b/>
                <w:sz w:val="14"/>
                <w:szCs w:val="14"/>
              </w:rPr>
              <w:t>UNID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D2C" w:rsidRPr="00DE3E01" w:rsidRDefault="00BF3D2C" w:rsidP="00215FB3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DE3E01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D2C" w:rsidRPr="00DE3E01" w:rsidRDefault="00BF3D2C" w:rsidP="00CD21AF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E3E01">
              <w:rPr>
                <w:rFonts w:ascii="Tahoma" w:hAnsi="Tahoma" w:cs="Tahoma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2C" w:rsidRPr="00F62720" w:rsidRDefault="00BF3D2C" w:rsidP="00215FB3">
            <w:pPr>
              <w:pStyle w:val="SemEspaamen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62720">
              <w:rPr>
                <w:rFonts w:ascii="Tahoma" w:hAnsi="Tahoma" w:cs="Tahoma"/>
                <w:b/>
                <w:sz w:val="18"/>
                <w:szCs w:val="18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D2C" w:rsidRPr="00F62720" w:rsidRDefault="00BF3D2C" w:rsidP="00215FB3">
            <w:pPr>
              <w:pStyle w:val="SemEspaamen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62720">
              <w:rPr>
                <w:rFonts w:ascii="Tahoma" w:hAnsi="Tahoma" w:cs="Tahoma"/>
                <w:b/>
                <w:sz w:val="18"/>
                <w:szCs w:val="18"/>
              </w:rPr>
              <w:t>TOTAL</w:t>
            </w:r>
          </w:p>
        </w:tc>
      </w:tr>
      <w:tr w:rsidR="00CD21AF" w:rsidRPr="00BF3D2C" w:rsidTr="00D82888">
        <w:trPr>
          <w:gridAfter w:val="5"/>
          <w:wAfter w:w="7088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D21AF">
              <w:rPr>
                <w:rFonts w:asciiTheme="minorHAnsi" w:eastAsia="Arial Unicode MS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21AF"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21AF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21AF">
              <w:rPr>
                <w:rFonts w:asciiTheme="minorHAnsi" w:hAnsiTheme="minorHAnsi" w:cstheme="minorHAnsi"/>
                <w:sz w:val="20"/>
                <w:szCs w:val="20"/>
              </w:rPr>
              <w:t xml:space="preserve">Lã 40gr. 100% acrílico nas cores preta, amarela, vermelha, verde escuro, marrom, rosa, roxa, </w:t>
            </w:r>
            <w:proofErr w:type="spellStart"/>
            <w:proofErr w:type="gramStart"/>
            <w:r w:rsidRPr="00CD21AF">
              <w:rPr>
                <w:rFonts w:asciiTheme="minorHAnsi" w:hAnsiTheme="minorHAnsi" w:cstheme="minorHAnsi"/>
                <w:sz w:val="20"/>
                <w:szCs w:val="20"/>
              </w:rPr>
              <w:t>pink</w:t>
            </w:r>
            <w:proofErr w:type="spellEnd"/>
            <w:proofErr w:type="gramEnd"/>
            <w:r w:rsidRPr="00CD21AF">
              <w:rPr>
                <w:rFonts w:asciiTheme="minorHAnsi" w:hAnsiTheme="minorHAnsi" w:cstheme="minorHAnsi"/>
                <w:sz w:val="20"/>
                <w:szCs w:val="20"/>
              </w:rPr>
              <w:t xml:space="preserve">, mesclada.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1AF" w:rsidRPr="00CD21AF" w:rsidRDefault="00CD21AF" w:rsidP="00CD21AF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CD21AF">
              <w:rPr>
                <w:rFonts w:asciiTheme="minorHAnsi" w:eastAsia="Calibri" w:hAnsiTheme="minorHAnsi" w:cstheme="minorHAnsi"/>
                <w:sz w:val="18"/>
                <w:szCs w:val="18"/>
              </w:rPr>
              <w:t>Mollet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AF" w:rsidRPr="00CD21AF" w:rsidRDefault="00CD21AF" w:rsidP="00215FB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D21AF">
              <w:rPr>
                <w:rFonts w:cstheme="minorHAnsi"/>
                <w:sz w:val="20"/>
                <w:szCs w:val="20"/>
              </w:rPr>
              <w:t>3,45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21AF" w:rsidRPr="00CD21AF" w:rsidRDefault="00CD21AF" w:rsidP="00BF3D2C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D21AF">
              <w:rPr>
                <w:rFonts w:cstheme="minorHAnsi"/>
                <w:color w:val="000000"/>
                <w:sz w:val="20"/>
                <w:szCs w:val="20"/>
              </w:rPr>
              <w:t>1242,00</w:t>
            </w:r>
          </w:p>
        </w:tc>
      </w:tr>
      <w:tr w:rsidR="00CD21AF" w:rsidRPr="00BF3D2C" w:rsidTr="00BF3D2C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D21AF">
              <w:rPr>
                <w:rFonts w:asciiTheme="minorHAnsi" w:eastAsia="Arial Unicode MS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21AF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21AF">
              <w:rPr>
                <w:rFonts w:asciiTheme="minorHAnsi" w:hAnsiTheme="minorHAnsi" w:cstheme="minorHAnsi"/>
                <w:sz w:val="20"/>
                <w:szCs w:val="20"/>
              </w:rPr>
              <w:t xml:space="preserve"> Unid.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21AF">
              <w:rPr>
                <w:rFonts w:asciiTheme="minorHAnsi" w:hAnsiTheme="minorHAnsi" w:cstheme="minorHAnsi"/>
                <w:sz w:val="20"/>
                <w:szCs w:val="20"/>
              </w:rPr>
              <w:t xml:space="preserve">Linha para crochê 1000 m., 100% mercerizado, acabamento cintilante, toque macio, fio NE 4/2 (151 </w:t>
            </w:r>
            <w:proofErr w:type="spellStart"/>
            <w:r w:rsidRPr="00CD21AF">
              <w:rPr>
                <w:rFonts w:asciiTheme="minorHAnsi" w:hAnsiTheme="minorHAnsi" w:cstheme="minorHAnsi"/>
                <w:sz w:val="20"/>
                <w:szCs w:val="20"/>
              </w:rPr>
              <w:t>tex</w:t>
            </w:r>
            <w:proofErr w:type="spellEnd"/>
            <w:r w:rsidRPr="00CD21AF">
              <w:rPr>
                <w:rFonts w:asciiTheme="minorHAnsi" w:hAnsiTheme="minorHAnsi" w:cstheme="minorHAnsi"/>
                <w:sz w:val="20"/>
                <w:szCs w:val="20"/>
              </w:rPr>
              <w:t>) para agulha de crochê 1,25 mm, nas cores vermelho, verde, azul, amarelo, branco, rosa, roxo, laranja, marrom e mesclado (30 de cada</w:t>
            </w:r>
            <w:proofErr w:type="gramStart"/>
            <w:r w:rsidRPr="00CD21A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proofErr w:type="gramEnd"/>
            <w:r w:rsidRPr="00CD21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1AF" w:rsidRPr="00CD21AF" w:rsidRDefault="00CD21AF" w:rsidP="00CD21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21AF">
              <w:rPr>
                <w:rFonts w:cstheme="minorHAnsi"/>
                <w:sz w:val="18"/>
                <w:szCs w:val="18"/>
              </w:rPr>
              <w:t>Clea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AF" w:rsidRPr="00CD21AF" w:rsidRDefault="00CD21AF" w:rsidP="00215FB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D21AF">
              <w:rPr>
                <w:rFonts w:cstheme="minorHAnsi"/>
                <w:sz w:val="20"/>
                <w:szCs w:val="20"/>
              </w:rPr>
              <w:t>12,15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21AF" w:rsidRDefault="00CD21AF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D21AF">
              <w:rPr>
                <w:rFonts w:cstheme="minorHAnsi"/>
                <w:color w:val="000000"/>
                <w:sz w:val="20"/>
                <w:szCs w:val="20"/>
              </w:rPr>
              <w:t>3645,00</w:t>
            </w:r>
          </w:p>
          <w:p w:rsidR="00CD21AF" w:rsidRPr="00CD21AF" w:rsidRDefault="00CD21AF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D21AF" w:rsidRPr="00BF3D2C" w:rsidTr="00BF3D2C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D21AF">
              <w:rPr>
                <w:rFonts w:asciiTheme="minorHAnsi" w:eastAsia="Arial Unicode MS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21AF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21AF">
              <w:rPr>
                <w:rFonts w:asciiTheme="minorHAnsi" w:hAnsiTheme="minorHAnsi" w:cstheme="minorHAnsi"/>
                <w:sz w:val="20"/>
                <w:szCs w:val="20"/>
              </w:rPr>
              <w:t xml:space="preserve"> Unid.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21AF">
              <w:rPr>
                <w:rFonts w:asciiTheme="minorHAnsi" w:hAnsiTheme="minorHAnsi" w:cstheme="minorHAnsi"/>
                <w:sz w:val="20"/>
                <w:szCs w:val="20"/>
              </w:rPr>
              <w:t xml:space="preserve">Linha para crochê 500 m., 100% mercerizado, acabamento cintilante, toque macio, fio NE 4/2 (295 </w:t>
            </w:r>
            <w:proofErr w:type="spellStart"/>
            <w:r w:rsidRPr="00CD21AF">
              <w:rPr>
                <w:rFonts w:asciiTheme="minorHAnsi" w:hAnsiTheme="minorHAnsi" w:cstheme="minorHAnsi"/>
                <w:sz w:val="20"/>
                <w:szCs w:val="20"/>
              </w:rPr>
              <w:t>tex</w:t>
            </w:r>
            <w:proofErr w:type="spellEnd"/>
            <w:r w:rsidRPr="00CD21AF">
              <w:rPr>
                <w:rFonts w:asciiTheme="minorHAnsi" w:hAnsiTheme="minorHAnsi" w:cstheme="minorHAnsi"/>
                <w:sz w:val="20"/>
                <w:szCs w:val="20"/>
              </w:rPr>
              <w:t>) para agulha de crochê 1,75 mm e agulha para tricô 3.0mm e 3.5 mm, nas cores vermelho, verde, azul, amarelo, branco, rosa, roxo, laranja, marrom e mesclado (30 de cada</w:t>
            </w:r>
            <w:proofErr w:type="gramStart"/>
            <w:r w:rsidRPr="00CD21A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proofErr w:type="gramEnd"/>
            <w:r w:rsidRPr="00CD21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1AF" w:rsidRPr="00CD21AF" w:rsidRDefault="00CD21AF" w:rsidP="00CD21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21AF">
              <w:rPr>
                <w:rFonts w:cstheme="minorHAnsi"/>
                <w:sz w:val="18"/>
                <w:szCs w:val="18"/>
              </w:rPr>
              <w:t>Clea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AF" w:rsidRPr="00CD21AF" w:rsidRDefault="00CD21AF" w:rsidP="00215FB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D21AF">
              <w:rPr>
                <w:rFonts w:cstheme="minorHAnsi"/>
                <w:sz w:val="20"/>
                <w:szCs w:val="20"/>
              </w:rPr>
              <w:t>11,80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21AF" w:rsidRDefault="00CD21AF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D21AF">
              <w:rPr>
                <w:rFonts w:cstheme="minorHAnsi"/>
                <w:color w:val="000000"/>
                <w:sz w:val="20"/>
                <w:szCs w:val="20"/>
              </w:rPr>
              <w:t>3540,00</w:t>
            </w:r>
          </w:p>
          <w:p w:rsidR="00CD21AF" w:rsidRPr="00CD21AF" w:rsidRDefault="00CD21AF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D21AF" w:rsidRPr="00BF3D2C" w:rsidTr="00E1225C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D21AF">
              <w:rPr>
                <w:rFonts w:asciiTheme="minorHAnsi" w:eastAsia="Arial Unicode MS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21AF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D21AF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  <w:proofErr w:type="spellEnd"/>
          </w:p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21AF">
              <w:rPr>
                <w:rFonts w:asciiTheme="minorHAnsi" w:hAnsiTheme="minorHAnsi" w:cstheme="minorHAnsi"/>
                <w:sz w:val="20"/>
                <w:szCs w:val="20"/>
              </w:rPr>
              <w:t xml:space="preserve">Tinta para tecido – nas cores: azul celeste, azul turquesa, </w:t>
            </w:r>
            <w:proofErr w:type="spellStart"/>
            <w:r w:rsidRPr="00CD21AF">
              <w:rPr>
                <w:rFonts w:asciiTheme="minorHAnsi" w:hAnsiTheme="minorHAnsi" w:cstheme="minorHAnsi"/>
                <w:sz w:val="20"/>
                <w:szCs w:val="20"/>
              </w:rPr>
              <w:t>siena</w:t>
            </w:r>
            <w:proofErr w:type="spellEnd"/>
            <w:r w:rsidRPr="00CD21AF">
              <w:rPr>
                <w:rFonts w:asciiTheme="minorHAnsi" w:hAnsiTheme="minorHAnsi" w:cstheme="minorHAnsi"/>
                <w:sz w:val="20"/>
                <w:szCs w:val="20"/>
              </w:rPr>
              <w:t xml:space="preserve"> natural, marrom, magenta, vinho, púrpura, caramelo, violeta, laranja, sépia, verde oliva, verde pistache, verde musgo, verde bandeira, amarelo ouro, amarelo pele, </w:t>
            </w:r>
            <w:proofErr w:type="spellStart"/>
            <w:proofErr w:type="gramStart"/>
            <w:r w:rsidRPr="00CD21AF">
              <w:rPr>
                <w:rFonts w:asciiTheme="minorHAnsi" w:hAnsiTheme="minorHAnsi" w:cstheme="minorHAnsi"/>
                <w:sz w:val="20"/>
                <w:szCs w:val="20"/>
              </w:rPr>
              <w:t>pink</w:t>
            </w:r>
            <w:proofErr w:type="spellEnd"/>
            <w:proofErr w:type="gramEnd"/>
            <w:r w:rsidRPr="00CD21AF">
              <w:rPr>
                <w:rFonts w:asciiTheme="minorHAnsi" w:hAnsiTheme="minorHAnsi" w:cstheme="minorHAnsi"/>
                <w:sz w:val="20"/>
                <w:szCs w:val="20"/>
              </w:rPr>
              <w:t xml:space="preserve">, verde claro, clareador, vermelho fogo, vermelho púrpura, vermelho escarlate, vermelho tomate, branco, preto. </w:t>
            </w:r>
            <w:proofErr w:type="gramStart"/>
            <w:r w:rsidRPr="00CD21AF">
              <w:rPr>
                <w:rFonts w:asciiTheme="minorHAnsi" w:hAnsiTheme="minorHAnsi" w:cstheme="minorHAnsi"/>
                <w:sz w:val="20"/>
                <w:szCs w:val="20"/>
              </w:rPr>
              <w:t>37ml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1AF" w:rsidRPr="00CD21AF" w:rsidRDefault="00CD21AF" w:rsidP="00CD21A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D21AF">
              <w:rPr>
                <w:rFonts w:cstheme="minorHAnsi"/>
                <w:sz w:val="18"/>
                <w:szCs w:val="18"/>
              </w:rPr>
              <w:t>Acrilex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AF" w:rsidRPr="00CD21AF" w:rsidRDefault="00CD21AF" w:rsidP="00215FB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D21AF">
              <w:rPr>
                <w:rFonts w:cstheme="minorHAnsi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21AF" w:rsidRDefault="00CD21AF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D21AF">
              <w:rPr>
                <w:rFonts w:cstheme="minorHAnsi"/>
                <w:color w:val="000000"/>
                <w:sz w:val="20"/>
                <w:szCs w:val="20"/>
              </w:rPr>
              <w:t>1248,00</w:t>
            </w:r>
          </w:p>
          <w:p w:rsidR="00CD21AF" w:rsidRPr="00CD21AF" w:rsidRDefault="00CD21AF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D21AF" w:rsidRPr="00BF3D2C" w:rsidTr="008B3E52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D21AF">
              <w:rPr>
                <w:rFonts w:asciiTheme="minorHAnsi" w:eastAsia="Arial Unicode MS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21AF"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21AF">
              <w:rPr>
                <w:rFonts w:asciiTheme="minorHAnsi" w:hAnsiTheme="minorHAnsi" w:cstheme="minorHAnsi"/>
                <w:sz w:val="20"/>
                <w:szCs w:val="20"/>
              </w:rPr>
              <w:t xml:space="preserve"> Unid.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21AF">
              <w:rPr>
                <w:rFonts w:asciiTheme="minorHAnsi" w:hAnsiTheme="minorHAnsi" w:cstheme="minorHAnsi"/>
                <w:sz w:val="20"/>
                <w:szCs w:val="20"/>
              </w:rPr>
              <w:t>Toalha de rosto 50x80 felpudo para bordar Torino II liso linha bordado 100% algodão (vermelho, branco, azul, amarela, verde e rosa</w:t>
            </w:r>
            <w:proofErr w:type="gramStart"/>
            <w:r w:rsidRPr="00CD21A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1AF" w:rsidRPr="00CD21AF" w:rsidRDefault="00CD21AF" w:rsidP="00CD21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21AF">
              <w:rPr>
                <w:rFonts w:cstheme="minorHAnsi"/>
                <w:sz w:val="18"/>
                <w:szCs w:val="18"/>
              </w:rPr>
              <w:t>Dohler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AF" w:rsidRPr="00CD21AF" w:rsidRDefault="00CD21AF" w:rsidP="00215FB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D21AF">
              <w:rPr>
                <w:rFonts w:cstheme="minorHAnsi"/>
                <w:sz w:val="20"/>
                <w:szCs w:val="20"/>
              </w:rPr>
              <w:t>3,42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21AF" w:rsidRPr="00CD21AF" w:rsidRDefault="00CD21AF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D21AF">
              <w:rPr>
                <w:rFonts w:cstheme="minorHAnsi"/>
                <w:color w:val="000000"/>
                <w:sz w:val="20"/>
                <w:szCs w:val="20"/>
              </w:rPr>
              <w:t>615,60</w:t>
            </w:r>
          </w:p>
        </w:tc>
      </w:tr>
      <w:tr w:rsidR="00CD21AF" w:rsidRPr="00BF3D2C" w:rsidTr="008B3E52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D21AF">
              <w:rPr>
                <w:rFonts w:asciiTheme="minorHAnsi" w:eastAsia="Arial Unicode MS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21AF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21AF">
              <w:rPr>
                <w:rFonts w:asciiTheme="minorHAnsi" w:hAnsiTheme="minorHAnsi" w:cstheme="minorHAnsi"/>
                <w:sz w:val="20"/>
                <w:szCs w:val="20"/>
              </w:rPr>
              <w:t>Peça</w:t>
            </w:r>
          </w:p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21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1AF" w:rsidRPr="00CD21AF" w:rsidRDefault="00CD21AF" w:rsidP="0065506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21AF">
              <w:rPr>
                <w:rFonts w:asciiTheme="minorHAnsi" w:hAnsiTheme="minorHAnsi" w:cstheme="minorHAnsi"/>
                <w:sz w:val="20"/>
                <w:szCs w:val="20"/>
              </w:rPr>
              <w:t xml:space="preserve">Viés 35 mm largo de 50 metros sendo </w:t>
            </w:r>
            <w:proofErr w:type="gramStart"/>
            <w:r w:rsidRPr="00CD21A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  <w:r w:rsidRPr="00CD21AF">
              <w:rPr>
                <w:rFonts w:asciiTheme="minorHAnsi" w:hAnsiTheme="minorHAnsi" w:cstheme="minorHAnsi"/>
                <w:sz w:val="20"/>
                <w:szCs w:val="20"/>
              </w:rPr>
              <w:t xml:space="preserve"> peças cada cor: amarelo, branco, azul, verde, vermelho, rosa e preto.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1AF" w:rsidRPr="00CD21AF" w:rsidRDefault="00CD21AF" w:rsidP="00CD21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21AF">
              <w:rPr>
                <w:rFonts w:cstheme="minorHAnsi"/>
                <w:sz w:val="18"/>
                <w:szCs w:val="18"/>
              </w:rPr>
              <w:t>Cinderela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AF" w:rsidRPr="00CD21AF" w:rsidRDefault="00CD21AF" w:rsidP="00215FB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D21AF">
              <w:rPr>
                <w:rFonts w:cstheme="minorHAnsi"/>
                <w:sz w:val="20"/>
                <w:szCs w:val="20"/>
              </w:rPr>
              <w:t>13,40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21AF" w:rsidRPr="00CD21AF" w:rsidRDefault="00CD21AF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D21AF">
              <w:rPr>
                <w:rFonts w:cstheme="minorHAnsi"/>
                <w:color w:val="000000"/>
                <w:sz w:val="20"/>
                <w:szCs w:val="20"/>
              </w:rPr>
              <w:t>281,40</w:t>
            </w:r>
          </w:p>
        </w:tc>
      </w:tr>
      <w:tr w:rsidR="00CD21AF" w:rsidRPr="00BF3D2C" w:rsidTr="00BF3D2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AF" w:rsidRPr="00CD21AF" w:rsidRDefault="00CD21AF" w:rsidP="00215FB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AF" w:rsidRPr="00CD21AF" w:rsidRDefault="00CD21AF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1AF" w:rsidRPr="00CD21AF" w:rsidRDefault="00CD21AF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1AF" w:rsidRPr="00CD21AF" w:rsidRDefault="00CD21AF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21AF">
              <w:rPr>
                <w:rFonts w:asciiTheme="minorHAnsi" w:hAnsiTheme="minorHAnsi" w:cstheme="minorHAnsi"/>
                <w:sz w:val="22"/>
                <w:szCs w:val="22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1AF" w:rsidRPr="00CD21AF" w:rsidRDefault="00CD21AF" w:rsidP="00CD21AF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1AF" w:rsidRPr="00CD21AF" w:rsidRDefault="00CD21AF" w:rsidP="00215FB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21AF" w:rsidRPr="00CD21AF" w:rsidRDefault="00CD21AF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D21AF">
              <w:rPr>
                <w:rFonts w:cstheme="minorHAnsi"/>
                <w:color w:val="000000"/>
                <w:sz w:val="20"/>
                <w:szCs w:val="20"/>
              </w:rPr>
              <w:t>10572,00</w:t>
            </w:r>
          </w:p>
        </w:tc>
        <w:tc>
          <w:tcPr>
            <w:tcW w:w="2552" w:type="dxa"/>
          </w:tcPr>
          <w:p w:rsidR="00CD21AF" w:rsidRPr="00BF3D2C" w:rsidRDefault="00CD21AF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CD21AF" w:rsidRPr="00BF3D2C" w:rsidRDefault="00CD21AF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CD21AF" w:rsidRPr="00BF3D2C" w:rsidRDefault="00CD21AF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CD21AF" w:rsidRPr="00BF3D2C" w:rsidRDefault="00CD21AF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CD21AF" w:rsidRPr="00BF3D2C" w:rsidRDefault="00CD21AF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02. O preço registrado poderá a critério da Administração, justificadamente, ser objeto de reequilíbrio econômico financeiro, para menos ou para mais, nos termos do art. 65, inciso II, letra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"d‟, da Lei Federal nº 8.666/93.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03. A comprovação do desequilíbrio econômico-financeiro deverá ser feita acompanhada de documentos, tais como notas fiscais de aquisição e/ou outros insumos, bem como outros </w:t>
      </w:r>
      <w:r w:rsidRPr="00C95177">
        <w:rPr>
          <w:rFonts w:asciiTheme="minorHAnsi" w:hAnsiTheme="minorHAnsi" w:cstheme="minorHAnsi"/>
          <w:sz w:val="22"/>
          <w:szCs w:val="22"/>
        </w:rPr>
        <w:lastRenderedPageBreak/>
        <w:t>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 04. Quando o preço registrado tornar-se superior ao praticado no mercado, o Órgão Gerenciador deverá: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Convocar o fornecedor do bem ou prestador do serviço visando à negociação para a redução de preços e sua adequação ao mercado;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c) Convocar os demais fornecedores, visando igual oportunidade de negociação.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C95177">
        <w:rPr>
          <w:rFonts w:asciiTheme="minorHAnsi" w:hAnsiTheme="minorHAnsi" w:cstheme="minorHAnsi"/>
          <w:b/>
          <w:sz w:val="22"/>
          <w:szCs w:val="22"/>
        </w:rPr>
        <w:t>: Do Cancelamento do Preço Registrado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O fornecedor do bem ou prestador do serviço terá seu preço registrado cancelado quando: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Descumprir as condições da ata de registro de preços;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Recusar-se a celebrar o contrato ou não retirar a Autorização de Fornecimento, no prazo estabelecido pela Administração, sem justificativa aceitável;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Não aceitar reduzir o seu preço registrado, quando este se tornar superior àqueles praticados no mercado;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For suspenso ou declarado inidôneo para licitar ou contratar com a Administração nos termos do artigo 87, inciso IV, da Lei Federal nº 8.666/93;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For impedido de licitar e contratar com a Administração nos termos do artigo 7º da Lei Federal nº 10.520/02. </w:t>
      </w:r>
    </w:p>
    <w:p w:rsidR="00BF3D2C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>CLÁUSULA QUINTA</w:t>
      </w:r>
      <w:r w:rsidRPr="00C95177">
        <w:rPr>
          <w:rFonts w:asciiTheme="minorHAnsi" w:hAnsiTheme="minorHAnsi" w:cstheme="minorHAnsi"/>
          <w:b/>
          <w:sz w:val="22"/>
          <w:szCs w:val="22"/>
        </w:rPr>
        <w:t>: Da Garantia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BF3D2C" w:rsidRPr="00C95177" w:rsidRDefault="00BF3D2C" w:rsidP="00BF3D2C">
      <w:pPr>
        <w:spacing w:before="100" w:beforeAutospacing="1" w:after="100" w:afterAutospacing="1"/>
        <w:jc w:val="both"/>
        <w:rPr>
          <w:rFonts w:cstheme="minorHAnsi"/>
        </w:rPr>
      </w:pPr>
      <w:r w:rsidRPr="00C95177">
        <w:rPr>
          <w:rFonts w:cstheme="minorHAnsi"/>
          <w:b/>
          <w:bCs/>
          <w:u w:val="single"/>
        </w:rPr>
        <w:t>CLÁUSULA SEXTA</w:t>
      </w:r>
      <w:r w:rsidRPr="00C95177">
        <w:rPr>
          <w:rFonts w:cstheme="minorHAnsi"/>
          <w:b/>
          <w:bCs/>
        </w:rPr>
        <w:t xml:space="preserve"> – DA FORMA DE PAGAMENTO</w:t>
      </w:r>
      <w:r w:rsidRPr="00C95177">
        <w:rPr>
          <w:rFonts w:cstheme="minorHAnsi"/>
        </w:rPr>
        <w:t> </w:t>
      </w:r>
    </w:p>
    <w:p w:rsidR="00BF3D2C" w:rsidRDefault="00BF3D2C" w:rsidP="00BF3D2C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O pagamento será efetuado por Transferência eletrônica (TED) em </w:t>
      </w:r>
      <w:r w:rsidRPr="0059401E">
        <w:rPr>
          <w:rFonts w:asciiTheme="minorHAnsi" w:hAnsiTheme="minorHAnsi" w:cstheme="minorHAnsi"/>
          <w:b/>
          <w:sz w:val="22"/>
          <w:szCs w:val="22"/>
        </w:rPr>
        <w:t xml:space="preserve">conta corrente </w:t>
      </w:r>
      <w:r>
        <w:rPr>
          <w:rFonts w:asciiTheme="minorHAnsi" w:hAnsiTheme="minorHAnsi" w:cstheme="minorHAnsi"/>
          <w:b/>
          <w:sz w:val="22"/>
          <w:szCs w:val="22"/>
        </w:rPr>
        <w:t>4721-5</w:t>
      </w:r>
      <w:r w:rsidRPr="0059401E">
        <w:rPr>
          <w:rFonts w:asciiTheme="minorHAnsi" w:hAnsiTheme="minorHAnsi" w:cstheme="minorHAnsi"/>
          <w:b/>
          <w:sz w:val="22"/>
          <w:szCs w:val="22"/>
        </w:rPr>
        <w:t xml:space="preserve"> – Agência </w:t>
      </w:r>
      <w:r>
        <w:rPr>
          <w:rFonts w:asciiTheme="minorHAnsi" w:hAnsiTheme="minorHAnsi" w:cstheme="minorHAnsi"/>
          <w:b/>
          <w:sz w:val="22"/>
          <w:szCs w:val="22"/>
        </w:rPr>
        <w:t>0388</w:t>
      </w:r>
      <w:r w:rsidRPr="0059401E">
        <w:rPr>
          <w:rFonts w:asciiTheme="minorHAnsi" w:hAnsiTheme="minorHAnsi" w:cstheme="minorHAnsi"/>
          <w:b/>
          <w:sz w:val="22"/>
          <w:szCs w:val="22"/>
        </w:rPr>
        <w:t xml:space="preserve"> Banco </w:t>
      </w:r>
      <w:r w:rsidR="00CA69D3">
        <w:rPr>
          <w:rFonts w:asciiTheme="minorHAnsi" w:hAnsiTheme="minorHAnsi" w:cstheme="minorHAnsi"/>
          <w:b/>
          <w:sz w:val="22"/>
          <w:szCs w:val="22"/>
        </w:rPr>
        <w:t xml:space="preserve">CEF </w:t>
      </w:r>
      <w:proofErr w:type="gramStart"/>
      <w:r w:rsidR="00CA69D3">
        <w:rPr>
          <w:rFonts w:asciiTheme="minorHAnsi" w:hAnsiTheme="minorHAnsi" w:cstheme="minorHAnsi"/>
          <w:b/>
          <w:sz w:val="22"/>
          <w:szCs w:val="22"/>
        </w:rPr>
        <w:t>OP:</w:t>
      </w:r>
      <w:proofErr w:type="gramEnd"/>
      <w:r w:rsidR="00CA69D3">
        <w:rPr>
          <w:rFonts w:asciiTheme="minorHAnsi" w:hAnsiTheme="minorHAnsi" w:cstheme="minorHAnsi"/>
          <w:b/>
          <w:sz w:val="22"/>
          <w:szCs w:val="22"/>
        </w:rPr>
        <w:t>003</w:t>
      </w:r>
      <w:r w:rsidRPr="00C95177">
        <w:rPr>
          <w:rFonts w:asciiTheme="minorHAnsi" w:hAnsiTheme="minorHAnsi" w:cstheme="minorHAnsi"/>
          <w:sz w:val="22"/>
          <w:szCs w:val="22"/>
        </w:rPr>
        <w:t xml:space="preserve"> até o 15º dia útil do mês subsequente, contados do recebimento dos produtos; proporcional a cada solicitação, após apresentação da Nota Fiscal Eletrônica/Fatura; devidamente atestada pelo setor competente. Caso ocorra a qualquer tempo, a não aceitação do objeto e a não atestação de idoneidade da proponente, os pagamentos serão descontinuados e </w:t>
      </w:r>
      <w:r w:rsidRPr="00C95177">
        <w:rPr>
          <w:rFonts w:asciiTheme="minorHAnsi" w:hAnsiTheme="minorHAnsi" w:cstheme="minorHAnsi"/>
          <w:sz w:val="22"/>
          <w:szCs w:val="22"/>
        </w:rPr>
        <w:lastRenderedPageBreak/>
        <w:t>reiniciados após a correção necessária.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5177">
        <w:rPr>
          <w:rFonts w:asciiTheme="minorHAnsi" w:hAnsiTheme="minorHAnsi" w:cstheme="minorHAnsi"/>
          <w:sz w:val="22"/>
          <w:szCs w:val="22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CONTRATADA.</w:t>
      </w:r>
    </w:p>
    <w:p w:rsidR="00BF3D2C" w:rsidRPr="00C95177" w:rsidRDefault="00BF3D2C" w:rsidP="00BF3D2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A6970">
        <w:rPr>
          <w:rFonts w:asciiTheme="minorHAnsi" w:hAnsiTheme="minorHAnsi" w:cstheme="minorHAnsi"/>
          <w:sz w:val="22"/>
          <w:szCs w:val="22"/>
        </w:rPr>
        <w:t>As Notas Fiscais dos produtos deverão ser emitidas em nome FUNDO MUNICIPAL DE ASSISTÊNCIA SOCIAL DE RIBEIRÃO DO PINHAL CNPJ: 17.382.189/0001-27- Rua Antônio Rogério rosa 1097 – Complemento CRAS</w:t>
      </w:r>
    </w:p>
    <w:p w:rsidR="00BF3D2C" w:rsidRPr="00C95177" w:rsidRDefault="00BF3D2C" w:rsidP="00BF3D2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 </w:t>
      </w: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BF3D2C" w:rsidRPr="00C95177" w:rsidRDefault="00BF3D2C" w:rsidP="00BF3D2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</w:t>
      </w:r>
      <w:r>
        <w:rPr>
          <w:rFonts w:asciiTheme="minorHAnsi" w:hAnsiTheme="minorHAnsi" w:cstheme="minorHAnsi"/>
          <w:sz w:val="22"/>
          <w:szCs w:val="22"/>
        </w:rPr>
        <w:t xml:space="preserve"> 09.001.08244.0012.2038-3390300000-1910-</w:t>
      </w:r>
      <w:proofErr w:type="gramStart"/>
      <w:r>
        <w:rPr>
          <w:rFonts w:asciiTheme="minorHAnsi" w:hAnsiTheme="minorHAnsi" w:cstheme="minorHAnsi"/>
          <w:sz w:val="22"/>
          <w:szCs w:val="22"/>
        </w:rPr>
        <w:t>934;</w:t>
      </w:r>
      <w:proofErr w:type="gramEnd"/>
      <w:r>
        <w:rPr>
          <w:rFonts w:asciiTheme="minorHAnsi" w:hAnsiTheme="minorHAnsi" w:cstheme="minorHAnsi"/>
          <w:sz w:val="22"/>
          <w:szCs w:val="22"/>
        </w:rPr>
        <w:t>09.002.08244.0012.2037-3390300000-1870-940; 08244.0012.2043-3390300000-2100-000;08244.0012.2041-3390300000-2010-718;8244.0012.2047-3390300000-2260-941; 08244.0012.2039-3390300000-1950-10934; 08244.0012.2045-3390300000-2170-957; 08244.0012.2036-3390300000-1840-933 E 08244.0012.2047-3390300000-2260-941.</w:t>
      </w:r>
    </w:p>
    <w:p w:rsidR="00BF3D2C" w:rsidRPr="00C95177" w:rsidRDefault="00BF3D2C" w:rsidP="00BF3D2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BF3D2C" w:rsidRPr="00C95177" w:rsidRDefault="00BF3D2C" w:rsidP="00BF3D2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Proporcionar à CONTRATADA todas as condições necessárias ao pleno cumprimento das obrigações decorrentes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licitação, consoante estabelece a Lei Federal nº 8.666/93; e demais normas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editalícias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Fiscalizar e acompanhar o recebimento do objeto deste Pregão Presencial, através dos solicitantes Responsáveis pela Fiscalização e Recebimento;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Providenciar os pagamentos à CONTRATADA à vista das Notas Fiscais Eletrônicas/Faturas; devidamente atestadas nos prazos fixados;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Arcar com os encargos no caso do não pagamento nos prazos e condições previstas na Cláusula Sexta desta Ata de Registro de Preços. </w:t>
      </w:r>
    </w:p>
    <w:p w:rsidR="00BF3D2C" w:rsidRPr="00C95177" w:rsidRDefault="00BF3D2C" w:rsidP="00BF3D2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CONTRATADA obrigar-se-á: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a) Executar o Objeto referente ao Edital do Pregão Presencial, de acordo estritamente com as especificações descritas no mesmo;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Entregar os produtos descritos nas Autorizações de Entrega, nos quantitativos previstos na proposta de preços conforme definidos neste Edital e em consonância com o objeto e descritivos dos mesmos;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exclusivo critério a aceitabilidade; independente de aplicação das penalidades prevista em lei;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Responsabilizar-se pelos danos causados diretamente à Administração ou a terceiros decorrentes de sua culpa ou dolo, quando do fornecimento e/ou execução do Objeto desta Licitação, não </w:t>
      </w:r>
      <w:r w:rsidRPr="00C95177">
        <w:rPr>
          <w:rFonts w:asciiTheme="minorHAnsi" w:hAnsiTheme="minorHAnsi" w:cstheme="minorHAnsi"/>
          <w:sz w:val="22"/>
          <w:szCs w:val="22"/>
        </w:rPr>
        <w:lastRenderedPageBreak/>
        <w:t xml:space="preserve">podendo ser arguido, para efeito de exclusão de sua responsabilidade, o fato de a Administração proceder à fiscalização ou acompanhamento do fornecimento do Objeto;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g) Manter todas as condições de habilitação e qualificação exigidas na licitação, nos termos do art. 55, inciso XIII, da Lei Federal nº 8.666/93;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i) No caso de empresas locais, deverá ainda ser apresentada a Certidão Negativa de Débitos Municipais;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j) Acatar todas as demais condições e assumir as obrigações contidas no Edital, seus anexos e nos Contratos oriundos desta Ata de Registro de Preços.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</w:rPr>
        <w:t>CLAUSULA DÉCIMA: Da Fiscalização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fiscalização sobre a execução das contratações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licitação será exercida pelos responsáveis da Secretaria Solicitante.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Recusar produtos que não obedeçam às especificações, com o disposto no edital do Pregão Presencial;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Transmitir a CONTRATADA as determinações e instruções da Secretaria Solicitante;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d) Praticar quaisquer atos, nos limites do contrato, que se destinem a preservar todo e qualquer direito do Município.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pelo fornecimento dos bens, ora licitados.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F3D2C" w:rsidRPr="00C95177" w:rsidRDefault="00BF3D2C" w:rsidP="00BF3D2C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C95177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BF3D2C" w:rsidRPr="00C95177" w:rsidRDefault="00BF3D2C" w:rsidP="00BF3D2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F3D2C" w:rsidRPr="00C95177" w:rsidRDefault="00BF3D2C" w:rsidP="00BF3D2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</w:rPr>
        <w:t>01 -</w:t>
      </w:r>
      <w:r w:rsidRPr="00C95177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lastRenderedPageBreak/>
        <w:t xml:space="preserve">c) “prática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>;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C95177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C95177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BF3D2C" w:rsidRPr="00C95177" w:rsidRDefault="00BF3D2C" w:rsidP="00BF3D2C">
      <w:pPr>
        <w:spacing w:after="0" w:line="285" w:lineRule="atLeast"/>
        <w:jc w:val="both"/>
        <w:rPr>
          <w:rFonts w:cstheme="minorHAnsi"/>
        </w:rPr>
      </w:pPr>
      <w:r w:rsidRPr="00C95177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95177">
        <w:rPr>
          <w:rFonts w:cstheme="minorHAnsi"/>
        </w:rPr>
        <w:t>colusivas</w:t>
      </w:r>
      <w:proofErr w:type="spellEnd"/>
      <w:r w:rsidRPr="00C95177">
        <w:rPr>
          <w:rFonts w:cstheme="minorHAnsi"/>
        </w:rPr>
        <w:t>, coercitivas ou obstrutivas ao participar da licitação ou da execução um contrato financiado pelo organismo. </w:t>
      </w:r>
    </w:p>
    <w:p w:rsidR="00BF3D2C" w:rsidRPr="00C95177" w:rsidRDefault="00BF3D2C" w:rsidP="00BF3D2C">
      <w:pPr>
        <w:spacing w:after="0" w:line="285" w:lineRule="atLeast"/>
        <w:jc w:val="both"/>
        <w:rPr>
          <w:rFonts w:cstheme="minorHAnsi"/>
        </w:rPr>
      </w:pPr>
      <w:r w:rsidRPr="00C95177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F3D2C" w:rsidRPr="00C95177" w:rsidRDefault="00BF3D2C" w:rsidP="00BF3D2C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C95177">
        <w:rPr>
          <w:rFonts w:cstheme="minorHAnsi"/>
          <w:b/>
          <w:bCs/>
          <w:u w:val="single"/>
        </w:rPr>
        <w:t>CLÁUSULA DÉCIMA SEGUNDA – DAS PENALIDADES</w:t>
      </w:r>
      <w:r w:rsidRPr="00C95177">
        <w:rPr>
          <w:rFonts w:cstheme="minorHAnsi"/>
          <w:u w:val="single"/>
        </w:rPr>
        <w:t> </w:t>
      </w:r>
    </w:p>
    <w:p w:rsidR="00BF3D2C" w:rsidRPr="00C95177" w:rsidRDefault="00BF3D2C" w:rsidP="00BF3D2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C95177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CONTRATADA,</w:t>
      </w:r>
      <w:r w:rsidRPr="00C95177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F3D2C" w:rsidRPr="00C95177" w:rsidRDefault="00BF3D2C" w:rsidP="00BF3D2C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C95177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>) </w:t>
      </w:r>
      <w:r w:rsidRPr="00C95177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C95177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BF3D2C" w:rsidRPr="00C95177" w:rsidRDefault="00BF3D2C" w:rsidP="00BF3D2C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C95177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BF3D2C" w:rsidRPr="00C95177" w:rsidRDefault="00BF3D2C" w:rsidP="00BF3D2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</w:rPr>
        <w:t>CLÁUSULA DÉCIMA TERCEIRA – DA RENÚNCIA E DA RESCISÃO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666/93.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</w:t>
      </w:r>
    </w:p>
    <w:p w:rsidR="00BF3D2C" w:rsidRPr="00C95177" w:rsidRDefault="00BF3D2C" w:rsidP="00BF3D2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 </w:t>
      </w:r>
    </w:p>
    <w:p w:rsidR="00BF3D2C" w:rsidRPr="00C95177" w:rsidRDefault="00BF3D2C" w:rsidP="00BF3D2C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DÉCIMA QUARTA – DA PUBLICAÇÃO</w:t>
      </w:r>
      <w:r w:rsidRPr="00C95177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BF3D2C" w:rsidRPr="00C95177" w:rsidRDefault="00BF3D2C" w:rsidP="00BF3D2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CONTRATANTE</w:t>
      </w:r>
      <w:r w:rsidRPr="00C95177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BF3D2C" w:rsidRPr="00C95177" w:rsidRDefault="00BF3D2C" w:rsidP="00BF3D2C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BF3D2C" w:rsidRPr="00C95177" w:rsidRDefault="00BF3D2C" w:rsidP="00BF3D2C">
      <w:pPr>
        <w:spacing w:before="100" w:beforeAutospacing="1" w:after="100" w:afterAutospacing="1"/>
        <w:jc w:val="both"/>
        <w:rPr>
          <w:rFonts w:cstheme="minorHAnsi"/>
        </w:rPr>
      </w:pPr>
      <w:r w:rsidRPr="00C95177">
        <w:rPr>
          <w:rFonts w:cstheme="minorHAnsi"/>
        </w:rPr>
        <w:t>Independentemente de transcrição, farão parte integrante deste instrumento de Ata Registro de Preços o Edital de Licitação - Modalidade Pregão Presencial nº 01</w:t>
      </w:r>
      <w:r>
        <w:rPr>
          <w:rFonts w:cstheme="minorHAnsi"/>
        </w:rPr>
        <w:t>8</w:t>
      </w:r>
      <w:r w:rsidRPr="00C95177">
        <w:rPr>
          <w:rFonts w:cstheme="minorHAnsi"/>
        </w:rPr>
        <w:t xml:space="preserve">/2020, e a proposta final e adjudicada da </w:t>
      </w:r>
      <w:r w:rsidRPr="00C95177">
        <w:rPr>
          <w:rFonts w:cstheme="minorHAnsi"/>
          <w:b/>
          <w:bCs/>
        </w:rPr>
        <w:t>CONTRATADA</w:t>
      </w:r>
      <w:r w:rsidRPr="00C95177">
        <w:rPr>
          <w:rFonts w:cstheme="minorHAnsi"/>
        </w:rPr>
        <w:t>.</w:t>
      </w:r>
    </w:p>
    <w:p w:rsidR="00BF3D2C" w:rsidRPr="00C95177" w:rsidRDefault="00BF3D2C" w:rsidP="00BF3D2C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BF3D2C" w:rsidRPr="00C95177" w:rsidRDefault="00BF3D2C" w:rsidP="00BF3D2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</w:t>
      </w:r>
      <w:r w:rsidRPr="00C95177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F3D2C" w:rsidRPr="00C95177" w:rsidRDefault="00BF3D2C" w:rsidP="00BF3D2C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C95177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BF3D2C" w:rsidRPr="00C95177" w:rsidRDefault="00BF3D2C" w:rsidP="00BF3D2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BF3D2C" w:rsidRPr="00C95177" w:rsidRDefault="00BF3D2C" w:rsidP="00BF3D2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 por estarem de acordo, as partes firmam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C95177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BF3D2C" w:rsidRPr="00C95177" w:rsidRDefault="00BF3D2C" w:rsidP="00BF3D2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16</w:t>
      </w:r>
      <w:r w:rsidRPr="00C95177">
        <w:rPr>
          <w:rFonts w:asciiTheme="minorHAnsi" w:hAnsiTheme="minorHAnsi" w:cstheme="minorHAnsi"/>
          <w:sz w:val="22"/>
          <w:szCs w:val="22"/>
        </w:rPr>
        <w:t xml:space="preserve"> de junho de 2020.</w:t>
      </w:r>
    </w:p>
    <w:p w:rsidR="00BF3D2C" w:rsidRPr="00CA69D3" w:rsidRDefault="00BF3D2C" w:rsidP="00BF3D2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BF3D2C" w:rsidRPr="00740BBE" w:rsidRDefault="00BF3D2C" w:rsidP="00BF3D2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A69D3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CA69D3">
        <w:rPr>
          <w:rFonts w:asciiTheme="minorHAnsi" w:hAnsiTheme="minorHAnsi" w:cstheme="minorHAnsi"/>
          <w:sz w:val="22"/>
          <w:szCs w:val="22"/>
        </w:rPr>
        <w:tab/>
      </w:r>
      <w:r w:rsidRPr="00CA69D3">
        <w:rPr>
          <w:rFonts w:asciiTheme="minorHAnsi" w:hAnsiTheme="minorHAnsi" w:cstheme="minorHAnsi"/>
          <w:sz w:val="22"/>
          <w:szCs w:val="22"/>
        </w:rPr>
        <w:tab/>
      </w:r>
      <w:r w:rsidRPr="00CA69D3">
        <w:rPr>
          <w:rFonts w:asciiTheme="minorHAnsi" w:hAnsiTheme="minorHAnsi" w:cstheme="minorHAnsi"/>
          <w:sz w:val="22"/>
          <w:szCs w:val="22"/>
        </w:rPr>
        <w:tab/>
      </w:r>
      <w:r w:rsidR="00CA69D3" w:rsidRPr="00CA69D3">
        <w:rPr>
          <w:rFonts w:ascii="Tahoma" w:hAnsi="Tahoma" w:cs="Tahoma"/>
          <w:sz w:val="20"/>
          <w:szCs w:val="20"/>
        </w:rPr>
        <w:t>ARTHUR</w:t>
      </w:r>
      <w:r w:rsidR="00CA69D3" w:rsidRPr="00BF3D2C">
        <w:rPr>
          <w:rFonts w:ascii="Tahoma" w:hAnsi="Tahoma" w:cs="Tahoma"/>
          <w:b/>
          <w:sz w:val="20"/>
          <w:szCs w:val="20"/>
        </w:rPr>
        <w:t xml:space="preserve"> </w:t>
      </w:r>
      <w:r w:rsidR="00CA69D3" w:rsidRPr="00E02C82">
        <w:rPr>
          <w:rFonts w:ascii="Tahoma" w:hAnsi="Tahoma" w:cs="Tahoma"/>
          <w:sz w:val="20"/>
          <w:szCs w:val="20"/>
        </w:rPr>
        <w:t>PASSGNOLI BATISTA</w:t>
      </w:r>
    </w:p>
    <w:p w:rsidR="00BF3D2C" w:rsidRPr="00C95177" w:rsidRDefault="00BF3D2C" w:rsidP="00BF3D2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40BBE">
        <w:rPr>
          <w:rFonts w:asciiTheme="minorHAnsi" w:hAnsiTheme="minorHAnsi" w:cstheme="minorHAnsi"/>
          <w:sz w:val="22"/>
          <w:szCs w:val="22"/>
        </w:rPr>
        <w:t>PREFEITO MUNICIPAL</w:t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CA69D3">
        <w:rPr>
          <w:rFonts w:asciiTheme="minorHAnsi" w:hAnsiTheme="minorHAnsi" w:cstheme="minorHAnsi"/>
          <w:sz w:val="22"/>
          <w:szCs w:val="22"/>
        </w:rPr>
        <w:t>091.562.629-22</w:t>
      </w:r>
    </w:p>
    <w:p w:rsidR="00BF3D2C" w:rsidRPr="00C95177" w:rsidRDefault="00BF3D2C" w:rsidP="00BF3D2C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F3D2C" w:rsidRPr="00C95177" w:rsidRDefault="00BF3D2C" w:rsidP="00BF3D2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TESTEMUNHAS:</w:t>
      </w:r>
    </w:p>
    <w:p w:rsidR="00BF3D2C" w:rsidRPr="00C95177" w:rsidRDefault="00BF3D2C" w:rsidP="00BF3D2C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F3D2C" w:rsidRPr="00C95177" w:rsidRDefault="00BF3D2C" w:rsidP="00BF3D2C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F3D2C" w:rsidRPr="00C95177" w:rsidRDefault="00BF3D2C" w:rsidP="00BF3D2C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F3D2C" w:rsidRPr="00C95177" w:rsidTr="00215FB3">
        <w:tc>
          <w:tcPr>
            <w:tcW w:w="4606" w:type="dxa"/>
          </w:tcPr>
          <w:p w:rsidR="00BF3D2C" w:rsidRPr="00C95177" w:rsidRDefault="00BF3D2C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BF3D2C" w:rsidRPr="00C95177" w:rsidRDefault="00BF3D2C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BF3D2C" w:rsidRPr="00C95177" w:rsidRDefault="00BF3D2C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 xml:space="preserve">        SILAS MACEDO DE ARAUJO</w:t>
            </w:r>
          </w:p>
          <w:p w:rsidR="00BF3D2C" w:rsidRPr="00C95177" w:rsidRDefault="00BF3D2C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 xml:space="preserve">       CPF/MF 045.711.409-67</w:t>
            </w:r>
          </w:p>
          <w:p w:rsidR="00BF3D2C" w:rsidRPr="00C95177" w:rsidRDefault="00BF3D2C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D2C" w:rsidRPr="00C95177" w:rsidRDefault="00BF3D2C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3D2C" w:rsidRPr="00C95177" w:rsidTr="00215FB3">
        <w:tc>
          <w:tcPr>
            <w:tcW w:w="4606" w:type="dxa"/>
          </w:tcPr>
          <w:p w:rsidR="00BF3D2C" w:rsidRPr="00C95177" w:rsidRDefault="00BF3D2C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BF3D2C" w:rsidRPr="00C95177" w:rsidRDefault="00BF3D2C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F3D2C" w:rsidRPr="00C95177" w:rsidRDefault="00BF3D2C" w:rsidP="00BF3D2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ALYSSON HENRIQUE VENÂNCIO DA ROCHA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ab/>
      </w:r>
      <w:r w:rsidRPr="00C951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CARLOS ALEXANDRE BRAZ</w:t>
      </w:r>
    </w:p>
    <w:p w:rsidR="005A70B8" w:rsidRDefault="00BF3D2C" w:rsidP="00CD21AF">
      <w:pPr>
        <w:pStyle w:val="SemEspaamento"/>
      </w:pPr>
      <w:r w:rsidRPr="00C95177">
        <w:rPr>
          <w:rFonts w:asciiTheme="minorHAnsi" w:hAnsiTheme="minorHAnsi" w:cstheme="minorHAnsi"/>
          <w:sz w:val="22"/>
          <w:szCs w:val="22"/>
        </w:rPr>
        <w:t>OAB N.º 35546 - DPTO JURÍDICO</w:t>
      </w:r>
      <w:r w:rsidRPr="00C95177">
        <w:rPr>
          <w:rFonts w:asciiTheme="minorHAnsi" w:hAnsiTheme="minorHAnsi" w:cstheme="minorHAnsi"/>
          <w:sz w:val="22"/>
          <w:szCs w:val="22"/>
        </w:rPr>
        <w:tab/>
      </w:r>
      <w:r w:rsidRPr="00C95177">
        <w:rPr>
          <w:rFonts w:asciiTheme="minorHAnsi" w:hAnsiTheme="minorHAnsi" w:cstheme="minorHAnsi"/>
          <w:sz w:val="22"/>
          <w:szCs w:val="22"/>
        </w:rPr>
        <w:tab/>
      </w:r>
      <w:r w:rsidRPr="00C951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SECRETÁRIO </w:t>
      </w:r>
      <w:proofErr w:type="gramStart"/>
      <w:r>
        <w:rPr>
          <w:rFonts w:asciiTheme="minorHAnsi" w:hAnsiTheme="minorHAnsi" w:cstheme="minorHAnsi"/>
          <w:sz w:val="22"/>
          <w:szCs w:val="22"/>
        </w:rPr>
        <w:t>ASSIT.</w:t>
      </w:r>
      <w:proofErr w:type="gramEnd"/>
      <w:r>
        <w:rPr>
          <w:rFonts w:asciiTheme="minorHAnsi" w:hAnsiTheme="minorHAnsi" w:cstheme="minorHAnsi"/>
          <w:sz w:val="22"/>
          <w:szCs w:val="22"/>
        </w:rPr>
        <w:t>SOCIAL</w:t>
      </w:r>
      <w:r w:rsidRPr="00C95177">
        <w:rPr>
          <w:rFonts w:asciiTheme="minorHAnsi" w:hAnsiTheme="minorHAnsi" w:cstheme="minorHAnsi"/>
          <w:sz w:val="22"/>
          <w:szCs w:val="22"/>
        </w:rPr>
        <w:t xml:space="preserve"> – FISCAL DA ATA.</w:t>
      </w:r>
    </w:p>
    <w:sectPr w:rsidR="005A70B8" w:rsidSect="004E4468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4ADE">
      <w:pPr>
        <w:spacing w:after="0" w:line="240" w:lineRule="auto"/>
      </w:pPr>
      <w:r>
        <w:separator/>
      </w:r>
    </w:p>
  </w:endnote>
  <w:endnote w:type="continuationSeparator" w:id="0">
    <w:p w:rsidR="00000000" w:rsidRDefault="008D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68" w:rsidRDefault="008D4ADE">
    <w:pPr>
      <w:pStyle w:val="Rodap"/>
      <w:pBdr>
        <w:bottom w:val="single" w:sz="12" w:space="1" w:color="auto"/>
      </w:pBdr>
      <w:jc w:val="center"/>
      <w:rPr>
        <w:sz w:val="20"/>
      </w:rPr>
    </w:pPr>
  </w:p>
  <w:p w:rsidR="004E4468" w:rsidRPr="008B5900" w:rsidRDefault="00E02C8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4E4468" w:rsidRPr="008B5900" w:rsidRDefault="00E02C82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4ADE">
      <w:pPr>
        <w:spacing w:after="0" w:line="240" w:lineRule="auto"/>
      </w:pPr>
      <w:r>
        <w:separator/>
      </w:r>
    </w:p>
  </w:footnote>
  <w:footnote w:type="continuationSeparator" w:id="0">
    <w:p w:rsidR="00000000" w:rsidRDefault="008D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68" w:rsidRDefault="00E02C8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CBF4181" wp14:editId="4040CB6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4E4468" w:rsidRDefault="00E02C8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4E4468" w:rsidRDefault="008D4AD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49"/>
    <w:rsid w:val="005A70B8"/>
    <w:rsid w:val="008D4ADE"/>
    <w:rsid w:val="00BF3D2C"/>
    <w:rsid w:val="00C76549"/>
    <w:rsid w:val="00CA69D3"/>
    <w:rsid w:val="00CD21AF"/>
    <w:rsid w:val="00E0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D2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3D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F3D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3D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F3D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F3D2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F3D2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F3D2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F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F3D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BF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F3D2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ADE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D2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3D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F3D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3D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F3D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F3D2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F3D2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F3D2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F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F3D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BF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F3D2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ADE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bcomercial19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3259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cp:lastPrinted>2020-06-17T11:08:00Z</cp:lastPrinted>
  <dcterms:created xsi:type="dcterms:W3CDTF">2020-06-16T19:30:00Z</dcterms:created>
  <dcterms:modified xsi:type="dcterms:W3CDTF">2020-06-17T11:26:00Z</dcterms:modified>
</cp:coreProperties>
</file>