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95BB3" w:rsidRDefault="007146A1">
      <w:pPr>
        <w:spacing w:after="0" w:line="259" w:lineRule="auto"/>
        <w:ind w:left="0" w:right="0" w:firstLine="0"/>
        <w:jc w:val="left"/>
      </w:pPr>
      <w:r>
        <w:rPr>
          <w:b/>
          <w:sz w:val="246"/>
        </w:rPr>
        <w:t xml:space="preserve">   </w:t>
      </w:r>
    </w:p>
    <w:p w:rsidR="007146A1" w:rsidRDefault="007146A1">
      <w:pPr>
        <w:spacing w:after="588" w:line="259" w:lineRule="auto"/>
        <w:ind w:left="1834" w:right="0" w:firstLine="0"/>
        <w:jc w:val="center"/>
        <w:rPr>
          <w:b/>
          <w:sz w:val="23"/>
          <w:u w:val="single" w:color="000000"/>
        </w:rPr>
      </w:pPr>
    </w:p>
    <w:p w:rsidR="00A95BB3" w:rsidRDefault="007146A1">
      <w:pPr>
        <w:spacing w:after="588" w:line="259" w:lineRule="auto"/>
        <w:ind w:left="1834" w:right="0" w:firstLine="0"/>
        <w:jc w:val="center"/>
      </w:pPr>
      <w:r>
        <w:rPr>
          <w:b/>
          <w:sz w:val="23"/>
          <w:u w:val="single" w:color="000000"/>
        </w:rPr>
        <w:t>MEMORIAL DESCRITIVO</w:t>
      </w:r>
    </w:p>
    <w:p w:rsidR="00A95BB3" w:rsidRDefault="007146A1">
      <w:pPr>
        <w:spacing w:after="0" w:line="265" w:lineRule="auto"/>
        <w:ind w:right="0"/>
        <w:jc w:val="left"/>
      </w:pPr>
      <w:r>
        <w:rPr>
          <w:b/>
          <w:sz w:val="23"/>
        </w:rPr>
        <w:t xml:space="preserve">Obra: GALERIA DE ÁGUAS PLUVIAIS  </w:t>
      </w:r>
    </w:p>
    <w:p w:rsidR="00A95BB3" w:rsidRDefault="007146A1">
      <w:pPr>
        <w:spacing w:after="0" w:line="259" w:lineRule="auto"/>
        <w:ind w:right="0"/>
        <w:jc w:val="left"/>
      </w:pPr>
      <w:r>
        <w:rPr>
          <w:b/>
          <w:sz w:val="23"/>
        </w:rPr>
        <w:t xml:space="preserve">Local: </w:t>
      </w:r>
      <w:r>
        <w:rPr>
          <w:b/>
        </w:rPr>
        <w:t xml:space="preserve">Loteamento Silvio </w:t>
      </w:r>
      <w:proofErr w:type="spellStart"/>
      <w:r>
        <w:rPr>
          <w:b/>
        </w:rPr>
        <w:t>Fructuoso</w:t>
      </w:r>
      <w:proofErr w:type="spellEnd"/>
      <w:r>
        <w:rPr>
          <w:b/>
        </w:rPr>
        <w:t xml:space="preserve"> de Mello Coelho</w:t>
      </w:r>
      <w:r>
        <w:rPr>
          <w:b/>
        </w:rPr>
        <w:t xml:space="preserve"> </w:t>
      </w:r>
      <w:r>
        <w:rPr>
          <w:b/>
          <w:sz w:val="23"/>
        </w:rPr>
        <w:t>– Ribeirão do Pinhal</w:t>
      </w:r>
      <w:r>
        <w:rPr>
          <w:b/>
          <w:sz w:val="23"/>
        </w:rPr>
        <w:t xml:space="preserve"> – PR</w:t>
      </w:r>
      <w:r>
        <w:rPr>
          <w:b/>
          <w:sz w:val="23"/>
        </w:rPr>
        <w:t xml:space="preserve">. </w:t>
      </w:r>
    </w:p>
    <w:p w:rsidR="00A95BB3" w:rsidRDefault="007146A1">
      <w:pPr>
        <w:spacing w:after="406" w:line="265" w:lineRule="auto"/>
        <w:ind w:right="0"/>
        <w:jc w:val="left"/>
      </w:pPr>
      <w:r>
        <w:rPr>
          <w:b/>
          <w:sz w:val="23"/>
        </w:rPr>
        <w:t xml:space="preserve">   </w:t>
      </w:r>
    </w:p>
    <w:p w:rsidR="00A95BB3" w:rsidRDefault="007146A1">
      <w:pPr>
        <w:spacing w:after="146" w:line="265" w:lineRule="auto"/>
        <w:ind w:right="0"/>
        <w:jc w:val="left"/>
      </w:pPr>
      <w:r>
        <w:rPr>
          <w:b/>
          <w:sz w:val="23"/>
        </w:rPr>
        <w:t xml:space="preserve">GALERIA DE ÁGUAS PLUVIAIS  </w:t>
      </w:r>
    </w:p>
    <w:p w:rsidR="00A95BB3" w:rsidRDefault="007146A1">
      <w:pPr>
        <w:spacing w:after="211" w:line="265" w:lineRule="auto"/>
        <w:ind w:right="0"/>
        <w:jc w:val="left"/>
      </w:pPr>
      <w:r>
        <w:rPr>
          <w:b/>
          <w:sz w:val="23"/>
        </w:rPr>
        <w:t xml:space="preserve">Especificações Técnicas:  </w:t>
      </w:r>
    </w:p>
    <w:p w:rsidR="00A95BB3" w:rsidRDefault="007146A1">
      <w:pPr>
        <w:spacing w:after="444"/>
        <w:ind w:left="1821" w:right="0" w:firstLine="694"/>
      </w:pPr>
      <w:r>
        <w:t>Esta descrição apresenta a sistemática a ser adotada na execução das galerias tubulares de concreto, de forma a permitir o escoamento e condução das águas. São também apresentados os requisitos concernentes a materiais, equipamentos, execução, manejo ambie</w:t>
      </w:r>
      <w:r>
        <w:t xml:space="preserve">ntal e controle da qualidade.    </w:t>
      </w:r>
    </w:p>
    <w:p w:rsidR="00A95BB3" w:rsidRDefault="007146A1">
      <w:pPr>
        <w:numPr>
          <w:ilvl w:val="0"/>
          <w:numId w:val="1"/>
        </w:numPr>
        <w:spacing w:after="0" w:line="265" w:lineRule="auto"/>
        <w:ind w:left="2230" w:right="0" w:hanging="338"/>
        <w:jc w:val="left"/>
      </w:pPr>
      <w:r>
        <w:rPr>
          <w:b/>
          <w:sz w:val="23"/>
        </w:rPr>
        <w:t xml:space="preserve">Apresentação: </w:t>
      </w:r>
    </w:p>
    <w:p w:rsidR="00A95BB3" w:rsidRDefault="007146A1">
      <w:pPr>
        <w:spacing w:after="358"/>
        <w:ind w:left="1821" w:right="0" w:firstLine="694"/>
      </w:pPr>
      <w:r>
        <w:t xml:space="preserve">Esta norma estabelece a sistemática a ser empregada na execução e no controle da qualidade do serviço em epígrafe.   </w:t>
      </w:r>
    </w:p>
    <w:p w:rsidR="00A95BB3" w:rsidRDefault="007146A1">
      <w:pPr>
        <w:numPr>
          <w:ilvl w:val="0"/>
          <w:numId w:val="1"/>
        </w:numPr>
        <w:spacing w:after="211" w:line="265" w:lineRule="auto"/>
        <w:ind w:left="2230" w:right="0" w:hanging="338"/>
        <w:jc w:val="left"/>
      </w:pPr>
      <w:r>
        <w:rPr>
          <w:b/>
          <w:sz w:val="23"/>
        </w:rPr>
        <w:t xml:space="preserve">Objetivo:  </w:t>
      </w:r>
    </w:p>
    <w:p w:rsidR="00A95BB3" w:rsidRDefault="007146A1">
      <w:pPr>
        <w:spacing w:after="356"/>
        <w:ind w:left="1821" w:right="0" w:firstLine="694"/>
      </w:pPr>
      <w:r>
        <w:t>Estabelecer o tratamento adequado à execução e/ou melhoramento das caixas de captação e galerias tubulares de concreto para ca</w:t>
      </w:r>
      <w:r>
        <w:t xml:space="preserve">nalizar as águas pluviais de modo a permitir o escoamento subterrâneo e superficial das mesmas.   </w:t>
      </w:r>
    </w:p>
    <w:p w:rsidR="00A95BB3" w:rsidRDefault="007146A1">
      <w:pPr>
        <w:numPr>
          <w:ilvl w:val="0"/>
          <w:numId w:val="1"/>
        </w:numPr>
        <w:spacing w:after="211" w:line="265" w:lineRule="auto"/>
        <w:ind w:left="2230" w:right="0" w:hanging="338"/>
        <w:jc w:val="left"/>
      </w:pPr>
      <w:r>
        <w:rPr>
          <w:b/>
          <w:sz w:val="23"/>
        </w:rPr>
        <w:t xml:space="preserve">Condições Gerais:  </w:t>
      </w:r>
    </w:p>
    <w:p w:rsidR="00A95BB3" w:rsidRDefault="007146A1">
      <w:pPr>
        <w:ind w:left="1821" w:right="0" w:firstLine="694"/>
      </w:pPr>
      <w:r>
        <w:t xml:space="preserve">As galerias tubulares de concreto foram locadas de acordo com os elementos especificados no projeto. </w:t>
      </w:r>
    </w:p>
    <w:p w:rsidR="00A95BB3" w:rsidRDefault="007146A1">
      <w:pPr>
        <w:ind w:left="1821" w:right="0" w:firstLine="694"/>
      </w:pPr>
      <w:r>
        <w:t>Para melhor orientação das profundi</w:t>
      </w:r>
      <w:r>
        <w:t xml:space="preserve">dades e declividades da canalização, estabeleceu-se a utilização de gabaritos para execução dos berços e assentamentos através de cruzetas. </w:t>
      </w:r>
    </w:p>
    <w:p w:rsidR="00A95BB3" w:rsidRDefault="007146A1">
      <w:pPr>
        <w:ind w:left="1821" w:right="0" w:firstLine="694"/>
      </w:pPr>
      <w:r>
        <w:t>As galerias dispõem de seção de escoamento seguro dos deflúvios, o que representa atender às descargas de projeto c</w:t>
      </w:r>
      <w:r>
        <w:t xml:space="preserve">alculadas para períodos de recorrência preestabelecidos. </w:t>
      </w:r>
    </w:p>
    <w:p w:rsidR="00A95BB3" w:rsidRDefault="007146A1">
      <w:pPr>
        <w:spacing w:after="230"/>
        <w:ind w:left="1821" w:right="0" w:firstLine="694"/>
      </w:pPr>
      <w:r>
        <w:t>Para o escoamento seguro e satisfatório, o dimensionamento hidráulico foi considerado o desempenho das captações, com velocidade de escoament</w:t>
      </w:r>
      <w:r>
        <w:t xml:space="preserve">o adequado, cuidando ainda, evitar a ocorrência de velocidades excessivas na tubulação e dispositivos finais , No final das tubulações, em virtude do aterro lateral da pista, deverão ser construídos dissipadores de energia em escadas, para evitar processo </w:t>
      </w:r>
      <w:r>
        <w:t xml:space="preserve">erosivo no talude  lateral, como também  execução de caixas de retenção com o plantio de grama em placas.   </w:t>
      </w:r>
    </w:p>
    <w:p w:rsidR="00A95BB3" w:rsidRDefault="007146A1">
      <w:pPr>
        <w:spacing w:after="0" w:line="240" w:lineRule="auto"/>
        <w:ind w:left="1836" w:right="0" w:firstLine="791"/>
        <w:jc w:val="left"/>
      </w:pPr>
      <w:r>
        <w:t>No caso de obras próximas à plataforma de terraplenagem, a fim de diminuir os riscos de degradação precoce do pavimento e, principalmente, favorece</w:t>
      </w:r>
      <w:r>
        <w:t xml:space="preserve">r a segurança do tráfego, as captações, deverão ser construídos de modo a impedir, também, a formação de película de água na superfície dos pavimentos, evitando assim a ocorrência de acidentes. </w:t>
      </w:r>
    </w:p>
    <w:p w:rsidR="007146A1" w:rsidRDefault="007146A1">
      <w:pPr>
        <w:spacing w:after="0" w:line="240" w:lineRule="auto"/>
        <w:ind w:left="1836" w:right="0" w:firstLine="791"/>
        <w:jc w:val="left"/>
      </w:pPr>
    </w:p>
    <w:p w:rsidR="007146A1" w:rsidRDefault="007146A1">
      <w:pPr>
        <w:spacing w:after="0" w:line="240" w:lineRule="auto"/>
        <w:ind w:left="1836" w:right="0" w:firstLine="791"/>
        <w:jc w:val="left"/>
      </w:pPr>
    </w:p>
    <w:p w:rsidR="007146A1" w:rsidRDefault="007146A1">
      <w:pPr>
        <w:spacing w:after="0" w:line="240" w:lineRule="auto"/>
        <w:ind w:left="1836" w:right="0" w:firstLine="791"/>
        <w:jc w:val="left"/>
      </w:pPr>
    </w:p>
    <w:p w:rsidR="007146A1" w:rsidRDefault="007146A1">
      <w:pPr>
        <w:spacing w:after="0" w:line="240" w:lineRule="auto"/>
        <w:ind w:left="1836" w:right="0" w:firstLine="791"/>
        <w:jc w:val="left"/>
      </w:pPr>
    </w:p>
    <w:p w:rsidR="007146A1" w:rsidRDefault="007146A1">
      <w:pPr>
        <w:spacing w:after="0" w:line="240" w:lineRule="auto"/>
        <w:ind w:left="1836" w:right="0" w:firstLine="791"/>
        <w:jc w:val="left"/>
      </w:pPr>
    </w:p>
    <w:p w:rsidR="007146A1" w:rsidRDefault="007146A1">
      <w:pPr>
        <w:spacing w:after="0" w:line="240" w:lineRule="auto"/>
        <w:ind w:left="1836" w:right="0" w:firstLine="791"/>
        <w:jc w:val="left"/>
      </w:pPr>
    </w:p>
    <w:p w:rsidR="007146A1" w:rsidRDefault="007146A1">
      <w:pPr>
        <w:spacing w:after="0" w:line="240" w:lineRule="auto"/>
        <w:ind w:left="1836" w:right="0" w:firstLine="791"/>
        <w:jc w:val="left"/>
      </w:pPr>
    </w:p>
    <w:p w:rsidR="007146A1" w:rsidRDefault="007146A1">
      <w:pPr>
        <w:spacing w:after="0" w:line="240" w:lineRule="auto"/>
        <w:ind w:left="1836" w:right="0" w:firstLine="791"/>
        <w:jc w:val="left"/>
      </w:pPr>
    </w:p>
    <w:p w:rsidR="007146A1" w:rsidRDefault="007146A1">
      <w:pPr>
        <w:spacing w:after="0" w:line="240" w:lineRule="auto"/>
        <w:ind w:left="1836" w:right="0" w:firstLine="791"/>
        <w:jc w:val="left"/>
      </w:pPr>
    </w:p>
    <w:p w:rsidR="007146A1" w:rsidRDefault="007146A1">
      <w:pPr>
        <w:spacing w:after="0" w:line="240" w:lineRule="auto"/>
        <w:ind w:left="1836" w:right="0" w:firstLine="791"/>
        <w:jc w:val="left"/>
      </w:pPr>
    </w:p>
    <w:p w:rsidR="007146A1" w:rsidRDefault="007146A1">
      <w:pPr>
        <w:spacing w:after="0" w:line="240" w:lineRule="auto"/>
        <w:ind w:left="1836" w:right="0" w:firstLine="791"/>
        <w:jc w:val="left"/>
      </w:pPr>
    </w:p>
    <w:p w:rsidR="007146A1" w:rsidRDefault="007146A1">
      <w:pPr>
        <w:spacing w:after="0" w:line="240" w:lineRule="auto"/>
        <w:ind w:left="1836" w:right="0" w:firstLine="791"/>
        <w:jc w:val="left"/>
      </w:pPr>
    </w:p>
    <w:p w:rsidR="00A95BB3" w:rsidRDefault="007146A1">
      <w:pPr>
        <w:numPr>
          <w:ilvl w:val="0"/>
          <w:numId w:val="2"/>
        </w:numPr>
        <w:spacing w:after="190" w:line="265" w:lineRule="auto"/>
        <w:ind w:right="0" w:hanging="251"/>
        <w:jc w:val="left"/>
      </w:pPr>
      <w:r>
        <w:rPr>
          <w:b/>
          <w:sz w:val="23"/>
        </w:rPr>
        <w:t xml:space="preserve">Condições Específicas:  </w:t>
      </w:r>
    </w:p>
    <w:p w:rsidR="00A95BB3" w:rsidRDefault="007146A1">
      <w:pPr>
        <w:numPr>
          <w:ilvl w:val="1"/>
          <w:numId w:val="2"/>
        </w:numPr>
        <w:spacing w:after="189" w:line="265" w:lineRule="auto"/>
        <w:ind w:right="0" w:hanging="441"/>
        <w:jc w:val="left"/>
      </w:pPr>
      <w:r>
        <w:rPr>
          <w:b/>
          <w:sz w:val="23"/>
        </w:rPr>
        <w:t xml:space="preserve">Material  </w:t>
      </w:r>
    </w:p>
    <w:p w:rsidR="00A95BB3" w:rsidRDefault="007146A1">
      <w:pPr>
        <w:numPr>
          <w:ilvl w:val="2"/>
          <w:numId w:val="2"/>
        </w:numPr>
        <w:spacing w:after="211" w:line="265" w:lineRule="auto"/>
        <w:ind w:right="0" w:hanging="629"/>
        <w:jc w:val="left"/>
      </w:pPr>
      <w:r>
        <w:rPr>
          <w:b/>
          <w:sz w:val="23"/>
        </w:rPr>
        <w:t xml:space="preserve">Tubos de </w:t>
      </w:r>
      <w:proofErr w:type="gramStart"/>
      <w:r>
        <w:rPr>
          <w:b/>
          <w:sz w:val="23"/>
        </w:rPr>
        <w:t>Concreto  Armado</w:t>
      </w:r>
      <w:proofErr w:type="gramEnd"/>
      <w:r>
        <w:rPr>
          <w:b/>
          <w:sz w:val="23"/>
        </w:rPr>
        <w:t xml:space="preserve">  </w:t>
      </w:r>
    </w:p>
    <w:p w:rsidR="00A95BB3" w:rsidRDefault="007146A1">
      <w:pPr>
        <w:ind w:left="2934" w:right="0"/>
      </w:pPr>
      <w:r>
        <w:t xml:space="preserve">Os tubos de concreto para galerias deverão ser do tipo e dimensões indicadas </w:t>
      </w:r>
    </w:p>
    <w:p w:rsidR="00A95BB3" w:rsidRDefault="007146A1">
      <w:pPr>
        <w:ind w:left="1831" w:right="0"/>
      </w:pPr>
      <w:r>
        <w:t>no projeto e de encaixe tipo macho-fêmea</w:t>
      </w:r>
      <w:r>
        <w:t xml:space="preserve">, obedecendo às exigências da ABNT EB-6, ABNT MB-227, ABNT EB-103 e ABNT MB-228, consolidadas pela ABNT NBR-9794, para os tubos de concreto armado. </w:t>
      </w:r>
    </w:p>
    <w:p w:rsidR="00A95BB3" w:rsidRDefault="007146A1">
      <w:pPr>
        <w:ind w:left="2934" w:right="0"/>
      </w:pPr>
      <w:r>
        <w:t>Particular importância será dada à qualificação da tubulação, com</w:t>
      </w:r>
      <w:r>
        <w:t xml:space="preserve"> relação à </w:t>
      </w:r>
    </w:p>
    <w:p w:rsidR="00A95BB3" w:rsidRDefault="007146A1">
      <w:pPr>
        <w:spacing w:after="271"/>
        <w:ind w:left="1831" w:right="0"/>
      </w:pPr>
      <w:r>
        <w:t xml:space="preserve">resistência quanto à compressão diametral, adotando-se tubos e tipos de berço e </w:t>
      </w:r>
      <w:proofErr w:type="spellStart"/>
      <w:r>
        <w:t>reaterro</w:t>
      </w:r>
      <w:proofErr w:type="spellEnd"/>
      <w:r>
        <w:t xml:space="preserve"> das valas como o recomendado.  </w:t>
      </w:r>
    </w:p>
    <w:p w:rsidR="00A95BB3" w:rsidRDefault="007146A1">
      <w:pPr>
        <w:numPr>
          <w:ilvl w:val="2"/>
          <w:numId w:val="2"/>
        </w:numPr>
        <w:spacing w:after="211" w:line="265" w:lineRule="auto"/>
        <w:ind w:right="0" w:hanging="629"/>
        <w:jc w:val="left"/>
      </w:pPr>
      <w:r>
        <w:rPr>
          <w:b/>
          <w:sz w:val="23"/>
        </w:rPr>
        <w:t xml:space="preserve">Material de Rejuntamento  </w:t>
      </w:r>
    </w:p>
    <w:p w:rsidR="00A95BB3" w:rsidRDefault="007146A1">
      <w:pPr>
        <w:ind w:left="2934" w:right="0"/>
      </w:pPr>
      <w:r>
        <w:t xml:space="preserve">O rejuntamento da tubulação das galerias será feito de acordo com o </w:t>
      </w:r>
    </w:p>
    <w:p w:rsidR="00A95BB3" w:rsidRDefault="007146A1">
      <w:pPr>
        <w:ind w:left="1831" w:right="0"/>
      </w:pPr>
      <w:r>
        <w:t xml:space="preserve">estabelecido em normas. </w:t>
      </w:r>
    </w:p>
    <w:p w:rsidR="00A95BB3" w:rsidRDefault="007146A1">
      <w:pPr>
        <w:ind w:left="2934" w:right="0"/>
      </w:pPr>
      <w:r>
        <w:t xml:space="preserve">O </w:t>
      </w:r>
      <w:r>
        <w:t xml:space="preserve">material de rejuntamento empregado será com argamassa de cimento e areia, </w:t>
      </w:r>
    </w:p>
    <w:p w:rsidR="00A95BB3" w:rsidRDefault="007146A1">
      <w:pPr>
        <w:ind w:left="1831" w:right="0"/>
      </w:pPr>
      <w:r>
        <w:t xml:space="preserve">no traço de 1:4. </w:t>
      </w:r>
    </w:p>
    <w:p w:rsidR="00A95BB3" w:rsidRDefault="007146A1">
      <w:pPr>
        <w:ind w:left="2934" w:right="0"/>
      </w:pPr>
      <w:r>
        <w:t xml:space="preserve">O rejuntamento será feito de modo a atingir toda a circunferência da tubulação a </w:t>
      </w:r>
    </w:p>
    <w:p w:rsidR="00A95BB3" w:rsidRDefault="007146A1">
      <w:pPr>
        <w:spacing w:after="224"/>
        <w:ind w:left="1831" w:right="0"/>
      </w:pPr>
      <w:r>
        <w:t xml:space="preserve">fim de garantir a sua estanqueidade.  </w:t>
      </w:r>
    </w:p>
    <w:p w:rsidR="00A95BB3" w:rsidRDefault="007146A1">
      <w:pPr>
        <w:numPr>
          <w:ilvl w:val="2"/>
          <w:numId w:val="2"/>
        </w:numPr>
        <w:spacing w:after="241" w:line="265" w:lineRule="auto"/>
        <w:ind w:right="0" w:hanging="629"/>
        <w:jc w:val="left"/>
      </w:pPr>
      <w:r>
        <w:rPr>
          <w:b/>
          <w:sz w:val="23"/>
        </w:rPr>
        <w:t xml:space="preserve">Material para Construção de </w:t>
      </w:r>
      <w:proofErr w:type="spellStart"/>
      <w:r>
        <w:rPr>
          <w:b/>
          <w:sz w:val="23"/>
        </w:rPr>
        <w:t>Sarjetões</w:t>
      </w:r>
      <w:proofErr w:type="spellEnd"/>
      <w:r>
        <w:rPr>
          <w:b/>
          <w:sz w:val="23"/>
        </w:rPr>
        <w:t xml:space="preserve">, Berços, Abas e Dissipadores.  </w:t>
      </w:r>
    </w:p>
    <w:p w:rsidR="00A95BB3" w:rsidRDefault="007146A1">
      <w:pPr>
        <w:ind w:left="1821" w:right="0" w:firstLine="1088"/>
      </w:pPr>
      <w:r>
        <w:t xml:space="preserve">Os materiais empregados na construção dos </w:t>
      </w:r>
      <w:proofErr w:type="spellStart"/>
      <w:r>
        <w:rPr>
          <w:sz w:val="23"/>
        </w:rPr>
        <w:t>Sarjetões</w:t>
      </w:r>
      <w:proofErr w:type="spellEnd"/>
      <w:r>
        <w:rPr>
          <w:sz w:val="23"/>
        </w:rPr>
        <w:t xml:space="preserve">, Berços, Abas e </w:t>
      </w:r>
    </w:p>
    <w:p w:rsidR="00A95BB3" w:rsidRDefault="007146A1">
      <w:pPr>
        <w:ind w:left="1821" w:right="0" w:firstLine="1088"/>
      </w:pPr>
      <w:r>
        <w:rPr>
          <w:sz w:val="23"/>
        </w:rPr>
        <w:t xml:space="preserve">Dissipadores </w:t>
      </w:r>
      <w:r>
        <w:t xml:space="preserve">poderão ser: concreto ciclópico, concreto simples, concreto armado ou alvenaria e deverão atender às prescrições e exigências previstas pelas normas da ABNT. </w:t>
      </w:r>
    </w:p>
    <w:p w:rsidR="00A95BB3" w:rsidRDefault="007146A1">
      <w:pPr>
        <w:spacing w:after="0" w:line="259" w:lineRule="auto"/>
        <w:ind w:left="2924" w:right="0" w:firstLine="0"/>
        <w:jc w:val="left"/>
      </w:pPr>
      <w:r>
        <w:t xml:space="preserve">Para os, </w:t>
      </w:r>
      <w:proofErr w:type="spellStart"/>
      <w:r>
        <w:rPr>
          <w:sz w:val="23"/>
        </w:rPr>
        <w:t>Sarjetões</w:t>
      </w:r>
      <w:proofErr w:type="spellEnd"/>
      <w:r>
        <w:rPr>
          <w:sz w:val="23"/>
        </w:rPr>
        <w:t xml:space="preserve">, Berços, Abas e Dissipadores </w:t>
      </w:r>
      <w:r>
        <w:t xml:space="preserve">o concreto deverá ser </w:t>
      </w:r>
    </w:p>
    <w:p w:rsidR="00A95BB3" w:rsidRDefault="007146A1">
      <w:pPr>
        <w:spacing w:after="226"/>
        <w:ind w:left="1831" w:right="0"/>
      </w:pPr>
      <w:r>
        <w:t>preparado como estabelecid</w:t>
      </w:r>
      <w:r>
        <w:t xml:space="preserve">o de forma a atender a resistência à compressão aos 28 dias.  </w:t>
      </w:r>
    </w:p>
    <w:p w:rsidR="00A95BB3" w:rsidRDefault="007146A1">
      <w:pPr>
        <w:numPr>
          <w:ilvl w:val="1"/>
          <w:numId w:val="2"/>
        </w:numPr>
        <w:spacing w:after="211" w:line="265" w:lineRule="auto"/>
        <w:ind w:right="0" w:hanging="441"/>
        <w:jc w:val="left"/>
      </w:pPr>
      <w:r>
        <w:rPr>
          <w:b/>
          <w:sz w:val="23"/>
        </w:rPr>
        <w:t xml:space="preserve">Equipamento  </w:t>
      </w:r>
    </w:p>
    <w:p w:rsidR="00A95BB3" w:rsidRDefault="007146A1">
      <w:pPr>
        <w:ind w:left="2934" w:right="0"/>
      </w:pPr>
      <w:r>
        <w:t>Os equipamentos necessários</w:t>
      </w:r>
      <w:r>
        <w:rPr>
          <w:b/>
        </w:rPr>
        <w:t xml:space="preserve"> </w:t>
      </w:r>
      <w:r>
        <w:t xml:space="preserve">à execução dos serviços serão adequados aos </w:t>
      </w:r>
    </w:p>
    <w:p w:rsidR="00A95BB3" w:rsidRDefault="007146A1">
      <w:pPr>
        <w:spacing w:after="228"/>
        <w:ind w:left="1831" w:right="0"/>
      </w:pPr>
      <w:r>
        <w:t>locais de instalação das galerias e compatíveis com os materiais utilizados nas obras de arte correntes, a</w:t>
      </w:r>
      <w:r>
        <w:t xml:space="preserve">tendendo ao que dispõem as prescrições específicas para os serviços similares.  </w:t>
      </w:r>
    </w:p>
    <w:p w:rsidR="00A95BB3" w:rsidRDefault="007146A1">
      <w:pPr>
        <w:numPr>
          <w:ilvl w:val="1"/>
          <w:numId w:val="2"/>
        </w:numPr>
        <w:spacing w:after="189" w:line="265" w:lineRule="auto"/>
        <w:ind w:right="0" w:hanging="441"/>
        <w:jc w:val="left"/>
      </w:pPr>
      <w:r>
        <w:rPr>
          <w:b/>
          <w:sz w:val="23"/>
        </w:rPr>
        <w:t xml:space="preserve">Execução </w:t>
      </w:r>
      <w:r>
        <w:rPr>
          <w:sz w:val="23"/>
        </w:rPr>
        <w:t xml:space="preserve">  </w:t>
      </w:r>
    </w:p>
    <w:p w:rsidR="00A95BB3" w:rsidRDefault="007146A1">
      <w:pPr>
        <w:numPr>
          <w:ilvl w:val="2"/>
          <w:numId w:val="2"/>
        </w:numPr>
        <w:spacing w:after="211" w:line="265" w:lineRule="auto"/>
        <w:ind w:right="0" w:hanging="629"/>
        <w:jc w:val="left"/>
      </w:pPr>
      <w:r>
        <w:rPr>
          <w:b/>
          <w:sz w:val="23"/>
        </w:rPr>
        <w:t xml:space="preserve">Execução de Galerias com Tubos de Concreto  </w:t>
      </w:r>
    </w:p>
    <w:p w:rsidR="00A95BB3" w:rsidRDefault="007146A1">
      <w:pPr>
        <w:ind w:left="2934" w:right="0"/>
      </w:pPr>
      <w:r>
        <w:t xml:space="preserve">Para a execução de galerias com tubos de concreto deverá ser adotada a </w:t>
      </w:r>
    </w:p>
    <w:p w:rsidR="00A95BB3" w:rsidRDefault="007146A1">
      <w:pPr>
        <w:ind w:left="1831" w:right="0"/>
      </w:pPr>
      <w:r>
        <w:t xml:space="preserve">seguinte sistemática: </w:t>
      </w:r>
    </w:p>
    <w:p w:rsidR="00A95BB3" w:rsidRDefault="007146A1">
      <w:pPr>
        <w:ind w:left="2913" w:right="0"/>
      </w:pPr>
      <w:r>
        <w:t xml:space="preserve">Interrupção da sarjeta </w:t>
      </w:r>
      <w:r>
        <w:t xml:space="preserve">ou da canalização coletora junto ao acesso da galeria e </w:t>
      </w:r>
    </w:p>
    <w:p w:rsidR="00A95BB3" w:rsidRDefault="007146A1">
      <w:pPr>
        <w:ind w:left="1831" w:right="0"/>
      </w:pPr>
      <w:r>
        <w:t xml:space="preserve">execução do dispositivo de transferência para a galeria, como: caixa coletora, caixa de passagem ou outro indicado. </w:t>
      </w:r>
    </w:p>
    <w:p w:rsidR="00A95BB3" w:rsidRDefault="007146A1">
      <w:pPr>
        <w:ind w:left="2913" w:right="0"/>
      </w:pPr>
      <w:r>
        <w:t xml:space="preserve">Escavação mecanizada em profundidade que comporte a galeria, sendo que a </w:t>
      </w:r>
    </w:p>
    <w:p w:rsidR="00A95BB3" w:rsidRDefault="007146A1">
      <w:pPr>
        <w:ind w:left="1831" w:right="0"/>
      </w:pPr>
      <w:r>
        <w:t xml:space="preserve">largura da vala deverá possuir sempre o diâmetro externo do tubo </w:t>
      </w:r>
      <w:r>
        <w:t xml:space="preserve">acrescido de 50,00cm de cada lado. Caso a profundidade exceder 1,80m, a vala terá as paredes </w:t>
      </w:r>
      <w:proofErr w:type="spellStart"/>
      <w:r>
        <w:t>rampadas</w:t>
      </w:r>
      <w:proofErr w:type="spellEnd"/>
      <w:r>
        <w:t xml:space="preserve"> com ângulo interno de 120 graus. </w:t>
      </w:r>
    </w:p>
    <w:p w:rsidR="007146A1" w:rsidRDefault="007146A1">
      <w:pPr>
        <w:ind w:left="1831" w:right="0"/>
      </w:pPr>
    </w:p>
    <w:p w:rsidR="007146A1" w:rsidRDefault="007146A1">
      <w:pPr>
        <w:ind w:left="1831" w:right="0"/>
      </w:pPr>
    </w:p>
    <w:p w:rsidR="007146A1" w:rsidRDefault="007146A1">
      <w:pPr>
        <w:ind w:left="1831" w:right="0"/>
      </w:pPr>
    </w:p>
    <w:p w:rsidR="007146A1" w:rsidRDefault="007146A1">
      <w:pPr>
        <w:ind w:left="1831" w:right="0"/>
      </w:pPr>
    </w:p>
    <w:p w:rsidR="007146A1" w:rsidRDefault="007146A1">
      <w:pPr>
        <w:ind w:left="1831" w:right="0"/>
      </w:pPr>
    </w:p>
    <w:p w:rsidR="007146A1" w:rsidRDefault="007146A1">
      <w:pPr>
        <w:ind w:left="1831" w:right="0"/>
      </w:pPr>
    </w:p>
    <w:p w:rsidR="00A95BB3" w:rsidRDefault="007146A1">
      <w:pPr>
        <w:ind w:left="2913" w:right="0"/>
      </w:pPr>
      <w:r>
        <w:t xml:space="preserve">Sempre que houver necessidade, será previsto o escoramento descontínuo das </w:t>
      </w:r>
    </w:p>
    <w:p w:rsidR="00A95BB3" w:rsidRDefault="007146A1">
      <w:pPr>
        <w:ind w:left="1831" w:right="0"/>
      </w:pPr>
      <w:r>
        <w:t xml:space="preserve">valas, caso se julgue necessário, em função </w:t>
      </w:r>
      <w:r>
        <w:t xml:space="preserve">das rampas existentes (taludes instáveis), garantindo inclusive o recobrimento da canalização. </w:t>
      </w:r>
    </w:p>
    <w:p w:rsidR="00A95BB3" w:rsidRDefault="007146A1">
      <w:pPr>
        <w:ind w:left="2913" w:right="0"/>
      </w:pPr>
      <w:r>
        <w:t xml:space="preserve">Compactação do berço da galeria de forma a garantir a estabilidade da fundação </w:t>
      </w:r>
    </w:p>
    <w:p w:rsidR="00A95BB3" w:rsidRDefault="007146A1">
      <w:pPr>
        <w:ind w:left="1831" w:right="0"/>
      </w:pPr>
      <w:r>
        <w:t xml:space="preserve">e a declividade longitudinal indicada. </w:t>
      </w:r>
    </w:p>
    <w:p w:rsidR="00A95BB3" w:rsidRDefault="007146A1">
      <w:pPr>
        <w:ind w:left="1821" w:right="0" w:firstLine="1067"/>
      </w:pPr>
      <w:r>
        <w:t>Execução da porção inferior do berço com</w:t>
      </w:r>
      <w:r>
        <w:t xml:space="preserve"> brita nº. 1 ou 2, com a espessura de 3cm. </w:t>
      </w:r>
    </w:p>
    <w:p w:rsidR="00A95BB3" w:rsidRDefault="007146A1">
      <w:pPr>
        <w:ind w:left="2913" w:right="0"/>
      </w:pPr>
      <w:r>
        <w:t xml:space="preserve">Colocação, assentamento e rejuntamento dos tubos, com argamassa de </w:t>
      </w:r>
    </w:p>
    <w:p w:rsidR="00A95BB3" w:rsidRDefault="007146A1">
      <w:pPr>
        <w:ind w:left="1831" w:right="0"/>
      </w:pPr>
      <w:r>
        <w:t xml:space="preserve">cimento-areia, traço 1:4. Os tubos em concreto armado serão assentados sempre da jusante para a montante. </w:t>
      </w:r>
    </w:p>
    <w:p w:rsidR="00A95BB3" w:rsidRDefault="007146A1">
      <w:pPr>
        <w:ind w:left="1821" w:right="0" w:firstLine="1067"/>
      </w:pPr>
      <w:r>
        <w:t xml:space="preserve">Não deverão ser assentados tubos que </w:t>
      </w:r>
      <w:r>
        <w:t xml:space="preserve">apresentarem trincas ou bocas comprometidas. </w:t>
      </w:r>
    </w:p>
    <w:p w:rsidR="00A95BB3" w:rsidRDefault="007146A1">
      <w:pPr>
        <w:ind w:left="2934" w:right="0"/>
      </w:pPr>
      <w:r>
        <w:t xml:space="preserve">Complementação do envolvimento do tubo com o mesmo tipo de concreto, </w:t>
      </w:r>
    </w:p>
    <w:p w:rsidR="00A95BB3" w:rsidRDefault="007146A1">
      <w:pPr>
        <w:spacing w:after="358"/>
        <w:ind w:left="1831" w:right="0"/>
      </w:pPr>
      <w:r>
        <w:t xml:space="preserve">obedecendo à geometria prevista no projeto-tipo e posterior </w:t>
      </w:r>
      <w:proofErr w:type="spellStart"/>
      <w:r>
        <w:t>reaterro</w:t>
      </w:r>
      <w:proofErr w:type="spellEnd"/>
      <w:r>
        <w:t xml:space="preserve"> com recobrimento mínimo de 15 cm acima da geratriz superior da canaliza</w:t>
      </w:r>
      <w:r>
        <w:t xml:space="preserve">ção.   </w:t>
      </w:r>
    </w:p>
    <w:p w:rsidR="00A95BB3" w:rsidRDefault="007146A1">
      <w:pPr>
        <w:numPr>
          <w:ilvl w:val="0"/>
          <w:numId w:val="3"/>
        </w:numPr>
        <w:spacing w:after="211" w:line="265" w:lineRule="auto"/>
        <w:ind w:right="0" w:hanging="251"/>
        <w:jc w:val="left"/>
      </w:pPr>
      <w:proofErr w:type="spellStart"/>
      <w:r>
        <w:rPr>
          <w:b/>
          <w:sz w:val="23"/>
        </w:rPr>
        <w:t>Reaterro</w:t>
      </w:r>
      <w:proofErr w:type="spellEnd"/>
      <w:r>
        <w:rPr>
          <w:b/>
          <w:sz w:val="23"/>
        </w:rPr>
        <w:t xml:space="preserve">:   </w:t>
      </w:r>
      <w:r>
        <w:rPr>
          <w:sz w:val="23"/>
        </w:rPr>
        <w:t xml:space="preserve"> </w:t>
      </w:r>
    </w:p>
    <w:p w:rsidR="00A95BB3" w:rsidRDefault="007146A1">
      <w:pPr>
        <w:ind w:left="1821" w:right="0" w:firstLine="694"/>
      </w:pPr>
      <w:r>
        <w:rPr>
          <w:sz w:val="23"/>
        </w:rPr>
        <w:t xml:space="preserve">       </w:t>
      </w:r>
      <w:r>
        <w:t>Após o teste de estanqueidade, que deverá ser acompanhado por um fiscal pertencente à Secretaria Municipal de Obras, a tubulação poderá ser aterrada com o próprio material resultante das escavações, desde que o mesmo seja de bo</w:t>
      </w:r>
      <w:r>
        <w:t xml:space="preserve">a qualidade e isento de material orgânico e de impurezas. A compactação deverá ser em camadas de no máximo 20,00 cm, até a cota superior, compactados manualmente com placa vibratória, de forma a garantir um maciço compacto, essencialmente uniforme, isento </w:t>
      </w:r>
      <w:r>
        <w:t xml:space="preserve">de descontinuidades, laminações, objetivando-se um índice de compactação de 95% do </w:t>
      </w:r>
      <w:proofErr w:type="spellStart"/>
      <w:r>
        <w:t>Proctor</w:t>
      </w:r>
      <w:proofErr w:type="spellEnd"/>
      <w:r>
        <w:t xml:space="preserve"> Normal.  </w:t>
      </w:r>
    </w:p>
    <w:p w:rsidR="00A95BB3" w:rsidRDefault="007146A1">
      <w:pPr>
        <w:spacing w:after="354"/>
        <w:ind w:left="2540" w:right="0"/>
      </w:pPr>
      <w:r>
        <w:t xml:space="preserve">       Todo solo não empregado no </w:t>
      </w:r>
      <w:proofErr w:type="spellStart"/>
      <w:r>
        <w:t>reaterro</w:t>
      </w:r>
      <w:proofErr w:type="spellEnd"/>
      <w:r>
        <w:t xml:space="preserve"> será lançado em bota-fora.   </w:t>
      </w:r>
    </w:p>
    <w:p w:rsidR="00A95BB3" w:rsidRDefault="007146A1">
      <w:pPr>
        <w:numPr>
          <w:ilvl w:val="0"/>
          <w:numId w:val="3"/>
        </w:numPr>
        <w:spacing w:after="211" w:line="265" w:lineRule="auto"/>
        <w:ind w:right="0" w:hanging="251"/>
        <w:jc w:val="left"/>
      </w:pPr>
      <w:r>
        <w:rPr>
          <w:b/>
          <w:sz w:val="23"/>
        </w:rPr>
        <w:t xml:space="preserve">Manejo Ambiental:  </w:t>
      </w:r>
    </w:p>
    <w:p w:rsidR="00A95BB3" w:rsidRDefault="007146A1">
      <w:pPr>
        <w:ind w:left="2934" w:right="0"/>
      </w:pPr>
      <w:r>
        <w:t xml:space="preserve">Durante a construção das galerias, deverão ser preservadas as condições </w:t>
      </w:r>
    </w:p>
    <w:p w:rsidR="00A95BB3" w:rsidRDefault="007146A1">
      <w:pPr>
        <w:ind w:left="1831" w:right="0"/>
      </w:pPr>
      <w:r>
        <w:t xml:space="preserve">ambientais exigindo-se, entre outros, os seguintes procedimentos: </w:t>
      </w:r>
    </w:p>
    <w:p w:rsidR="00A95BB3" w:rsidRDefault="007146A1">
      <w:pPr>
        <w:ind w:left="1821" w:right="0" w:firstLine="1088"/>
      </w:pPr>
      <w:r>
        <w:t>Todo o material excedente de escavação ou sobras, deverá ser removido das proximidades dos dispositivos de modo a nã</w:t>
      </w:r>
      <w:r>
        <w:t xml:space="preserve">o provocar o seu entupimento, cuidando-se ainda, que este material não seja conduzido para os cursos d’água de modo a não causar seu assoreamento. </w:t>
      </w:r>
    </w:p>
    <w:p w:rsidR="00A95BB3" w:rsidRDefault="007146A1">
      <w:pPr>
        <w:ind w:left="1821" w:right="0" w:firstLine="1088"/>
      </w:pPr>
      <w:r>
        <w:t>Nos pontos de deságu</w:t>
      </w:r>
      <w:r>
        <w:t>e dos dispositivos, deverão ser executadas obras de proteção de modo a não promover a er</w:t>
      </w:r>
      <w:r>
        <w:t xml:space="preserve">osão das vertentes ou assoreamento de cursos d’água. </w:t>
      </w:r>
    </w:p>
    <w:p w:rsidR="00A95BB3" w:rsidRDefault="007146A1">
      <w:pPr>
        <w:ind w:left="1821" w:right="0" w:firstLine="1088"/>
      </w:pPr>
      <w:r>
        <w:t>Em todos os locais onde ocorrerem escavações ou aterros necessários à implantação das obras deverão ser tomadas medidas que proporcionem a manutenção das condições locais através de replantio da vegetaç</w:t>
      </w:r>
      <w:r>
        <w:t xml:space="preserve">ão local ou grama. </w:t>
      </w:r>
    </w:p>
    <w:p w:rsidR="00A95BB3" w:rsidRDefault="007146A1">
      <w:pPr>
        <w:ind w:left="2934" w:right="0"/>
      </w:pPr>
      <w:r>
        <w:t xml:space="preserve">Durante o desenrolar das obras, deverá ser evitado o tráfego desnecessário de </w:t>
      </w:r>
    </w:p>
    <w:p w:rsidR="00A95BB3" w:rsidRDefault="007146A1">
      <w:pPr>
        <w:ind w:left="1831" w:right="0"/>
      </w:pPr>
      <w:r>
        <w:t xml:space="preserve">equipamentos ou veículos por terrenos naturais para não causar desfiguração. </w:t>
      </w:r>
    </w:p>
    <w:p w:rsidR="00A95BB3" w:rsidRDefault="007146A1">
      <w:pPr>
        <w:spacing w:after="0" w:line="265" w:lineRule="auto"/>
        <w:ind w:left="10" w:right="-12"/>
        <w:jc w:val="right"/>
      </w:pPr>
      <w:r>
        <w:t xml:space="preserve">Nas áreas de bota-fora ou empréstimos necessários à realização das valas de </w:t>
      </w:r>
    </w:p>
    <w:p w:rsidR="00A95BB3" w:rsidRDefault="007146A1">
      <w:pPr>
        <w:spacing w:after="343"/>
        <w:ind w:left="1831" w:right="0"/>
        <w:rPr>
          <w:b/>
          <w:sz w:val="23"/>
        </w:rPr>
      </w:pPr>
      <w:r>
        <w:t>sa</w:t>
      </w:r>
      <w:r>
        <w:t>ída que se instalam nas vertentes, deverão ser evitados os lançamentos de materiais de escavação que possam afetar o sistema de drenagem superficial</w:t>
      </w:r>
      <w:r>
        <w:rPr>
          <w:sz w:val="23"/>
        </w:rPr>
        <w:t xml:space="preserve">.  </w:t>
      </w:r>
      <w:r>
        <w:rPr>
          <w:b/>
          <w:sz w:val="23"/>
        </w:rPr>
        <w:t xml:space="preserve"> </w:t>
      </w:r>
    </w:p>
    <w:p w:rsidR="007146A1" w:rsidRDefault="007146A1">
      <w:pPr>
        <w:spacing w:after="343"/>
        <w:ind w:left="1831" w:right="0"/>
        <w:rPr>
          <w:b/>
          <w:sz w:val="23"/>
        </w:rPr>
      </w:pPr>
    </w:p>
    <w:p w:rsidR="007146A1" w:rsidRDefault="007146A1">
      <w:pPr>
        <w:spacing w:after="343"/>
        <w:ind w:left="1831" w:right="0"/>
        <w:rPr>
          <w:b/>
          <w:sz w:val="23"/>
        </w:rPr>
      </w:pPr>
    </w:p>
    <w:p w:rsidR="007146A1" w:rsidRDefault="007146A1">
      <w:pPr>
        <w:spacing w:after="343"/>
        <w:ind w:left="1831" w:right="0"/>
        <w:rPr>
          <w:b/>
          <w:sz w:val="23"/>
        </w:rPr>
      </w:pPr>
    </w:p>
    <w:p w:rsidR="007146A1" w:rsidRDefault="007146A1">
      <w:pPr>
        <w:spacing w:after="343"/>
        <w:ind w:left="1831" w:right="0"/>
        <w:rPr>
          <w:b/>
          <w:sz w:val="23"/>
        </w:rPr>
      </w:pPr>
    </w:p>
    <w:p w:rsidR="007146A1" w:rsidRDefault="007146A1">
      <w:pPr>
        <w:spacing w:after="343"/>
        <w:ind w:left="1831" w:right="0"/>
      </w:pPr>
    </w:p>
    <w:p w:rsidR="007146A1" w:rsidRDefault="007146A1">
      <w:pPr>
        <w:spacing w:after="343"/>
        <w:ind w:left="1831" w:right="0"/>
      </w:pPr>
      <w:bookmarkStart w:id="0" w:name="_GoBack"/>
      <w:bookmarkEnd w:id="0"/>
    </w:p>
    <w:p w:rsidR="00A95BB3" w:rsidRDefault="007146A1">
      <w:pPr>
        <w:numPr>
          <w:ilvl w:val="0"/>
          <w:numId w:val="4"/>
        </w:numPr>
        <w:spacing w:after="211" w:line="265" w:lineRule="auto"/>
        <w:ind w:right="0" w:hanging="251"/>
        <w:jc w:val="left"/>
      </w:pPr>
      <w:r>
        <w:rPr>
          <w:b/>
          <w:sz w:val="23"/>
        </w:rPr>
        <w:t xml:space="preserve">Captação de Águas Pluviais, Bocas de Lobo, Poços de Visita e Dissipador de Energia  </w:t>
      </w:r>
    </w:p>
    <w:p w:rsidR="00A95BB3" w:rsidRDefault="007146A1">
      <w:pPr>
        <w:numPr>
          <w:ilvl w:val="1"/>
          <w:numId w:val="4"/>
        </w:numPr>
        <w:spacing w:after="240"/>
        <w:ind w:right="0" w:firstLine="395"/>
      </w:pPr>
      <w:r>
        <w:t xml:space="preserve">Deverá ser executado o preparo do terreno (da base ou escada) para construção da ala do dissipador de energia. O terreno deverá ser compactado com soquete manual de no mínimo 30Kg.   </w:t>
      </w:r>
    </w:p>
    <w:p w:rsidR="00A95BB3" w:rsidRDefault="007146A1">
      <w:pPr>
        <w:numPr>
          <w:ilvl w:val="1"/>
          <w:numId w:val="4"/>
        </w:numPr>
        <w:spacing w:after="239"/>
        <w:ind w:right="0" w:firstLine="395"/>
      </w:pPr>
      <w:r>
        <w:t>A laje de fundo receberá a tela soldada Q138 sobre brita</w:t>
      </w:r>
      <w:r>
        <w:rPr>
          <w:b/>
        </w:rPr>
        <w:t xml:space="preserve">. </w:t>
      </w:r>
      <w:r>
        <w:t>As laterais re</w:t>
      </w:r>
      <w:r>
        <w:t xml:space="preserve">ceberão uma parede de contenção em tijolos maciços de um tijolo, revestidos com chapisco e emboço paulista.  </w:t>
      </w:r>
      <w:r>
        <w:rPr>
          <w:b/>
        </w:rPr>
        <w:t xml:space="preserve"> </w:t>
      </w:r>
    </w:p>
    <w:p w:rsidR="00A95BB3" w:rsidRDefault="007146A1">
      <w:pPr>
        <w:numPr>
          <w:ilvl w:val="1"/>
          <w:numId w:val="4"/>
        </w:numPr>
        <w:spacing w:after="357"/>
        <w:ind w:right="0" w:firstLine="395"/>
      </w:pPr>
      <w:r>
        <w:t xml:space="preserve">Nos </w:t>
      </w:r>
      <w:proofErr w:type="spellStart"/>
      <w:r>
        <w:t>sarjetões</w:t>
      </w:r>
      <w:proofErr w:type="spellEnd"/>
      <w:r>
        <w:t>, após abertura de caixa e execução das formas, com 2,00 m de largura, juntas de dilatação à cada 1,75 m e 15,00 m de comprimento, c</w:t>
      </w:r>
      <w:r>
        <w:t xml:space="preserve">om espessura de 0,06 m, será aplicado o concreto </w:t>
      </w:r>
      <w:proofErr w:type="spellStart"/>
      <w:r>
        <w:t>Fck</w:t>
      </w:r>
      <w:proofErr w:type="spellEnd"/>
      <w:r>
        <w:t xml:space="preserve">=15 Mpa, permanecendo uma inclinação de 5 cm das bordas para o centro.    </w:t>
      </w:r>
    </w:p>
    <w:p w:rsidR="00A95BB3" w:rsidRDefault="007146A1">
      <w:pPr>
        <w:numPr>
          <w:ilvl w:val="0"/>
          <w:numId w:val="4"/>
        </w:numPr>
        <w:spacing w:after="211" w:line="265" w:lineRule="auto"/>
        <w:ind w:right="0" w:hanging="251"/>
        <w:jc w:val="left"/>
      </w:pPr>
      <w:r>
        <w:rPr>
          <w:b/>
          <w:sz w:val="23"/>
        </w:rPr>
        <w:t xml:space="preserve">Critérios De Medição:   </w:t>
      </w:r>
    </w:p>
    <w:p w:rsidR="00A95BB3" w:rsidRDefault="007146A1">
      <w:pPr>
        <w:ind w:left="2540" w:right="0"/>
      </w:pPr>
      <w:r>
        <w:rPr>
          <w:sz w:val="23"/>
        </w:rPr>
        <w:t xml:space="preserve">      </w:t>
      </w:r>
      <w:r>
        <w:t xml:space="preserve">Os serviços aceitos serão medidos de acordo com os critérios a seguir: </w:t>
      </w:r>
    </w:p>
    <w:p w:rsidR="00A95BB3" w:rsidRDefault="007146A1">
      <w:pPr>
        <w:ind w:left="1821" w:right="0" w:firstLine="694"/>
      </w:pPr>
      <w:r>
        <w:t xml:space="preserve">       As galerias serão medidas pelo seu comprimento, determinado em metros, acompanhando as declividades executadas, incluindo fornecimento e colocação de materiais, bem como, a mão-</w:t>
      </w:r>
      <w:r>
        <w:t xml:space="preserve">de-obra e respectivos encargos, ferramentas e eventuais necessários à sua execução. </w:t>
      </w:r>
    </w:p>
    <w:p w:rsidR="00A95BB3" w:rsidRDefault="007146A1">
      <w:pPr>
        <w:spacing w:after="0" w:line="265" w:lineRule="auto"/>
        <w:ind w:left="10" w:right="-12"/>
        <w:jc w:val="right"/>
      </w:pPr>
      <w:r>
        <w:t xml:space="preserve">No caso de utilização de dispositivos </w:t>
      </w:r>
      <w:proofErr w:type="gramStart"/>
      <w:r>
        <w:t>pontuais</w:t>
      </w:r>
      <w:r>
        <w:t xml:space="preserve"> </w:t>
      </w:r>
      <w:r>
        <w:t>,</w:t>
      </w:r>
      <w:proofErr w:type="gramEnd"/>
      <w:r>
        <w:t xml:space="preserve"> como caixas coletoras, alas de </w:t>
      </w:r>
    </w:p>
    <w:p w:rsidR="00A95BB3" w:rsidRDefault="007146A1">
      <w:pPr>
        <w:spacing w:after="293"/>
        <w:ind w:left="1831" w:right="0"/>
      </w:pPr>
      <w:r>
        <w:t xml:space="preserve">captação e dissipadores de energia, as obras serão medidas por unidade, cujas quantidades </w:t>
      </w:r>
      <w:r>
        <w:t xml:space="preserve">foram estabelecidas nos projetos específicos.  </w:t>
      </w:r>
    </w:p>
    <w:p w:rsidR="00A95BB3" w:rsidRDefault="007146A1" w:rsidP="007146A1">
      <w:pPr>
        <w:tabs>
          <w:tab w:val="center" w:pos="3509"/>
          <w:tab w:val="right" w:pos="10370"/>
        </w:tabs>
        <w:spacing w:after="0" w:line="265" w:lineRule="auto"/>
        <w:ind w:left="0" w:righ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 </w:t>
      </w:r>
    </w:p>
    <w:p w:rsidR="00A95BB3" w:rsidRDefault="007146A1">
      <w:pPr>
        <w:spacing w:after="678" w:line="265" w:lineRule="auto"/>
        <w:ind w:left="10" w:right="-12"/>
        <w:jc w:val="right"/>
      </w:pPr>
      <w:r>
        <w:t>Ribeirão do Pinhal</w:t>
      </w:r>
      <w:r>
        <w:t>, 18</w:t>
      </w:r>
      <w:r>
        <w:t xml:space="preserve"> de </w:t>
      </w:r>
      <w:proofErr w:type="gramStart"/>
      <w:r>
        <w:t>março</w:t>
      </w:r>
      <w:r>
        <w:t xml:space="preserve">  de</w:t>
      </w:r>
      <w:proofErr w:type="gramEnd"/>
      <w:r>
        <w:t xml:space="preserve"> 2020</w:t>
      </w:r>
      <w:r>
        <w:t xml:space="preserve">.   </w:t>
      </w:r>
    </w:p>
    <w:p w:rsidR="007146A1" w:rsidRDefault="007146A1">
      <w:pPr>
        <w:spacing w:after="678" w:line="265" w:lineRule="auto"/>
        <w:ind w:left="10" w:right="-12"/>
        <w:jc w:val="right"/>
      </w:pPr>
    </w:p>
    <w:p w:rsidR="007146A1" w:rsidRDefault="007146A1">
      <w:pPr>
        <w:spacing w:after="678" w:line="265" w:lineRule="auto"/>
        <w:ind w:left="10" w:right="-12"/>
        <w:jc w:val="right"/>
      </w:pPr>
    </w:p>
    <w:p w:rsidR="00A95BB3" w:rsidRDefault="007146A1">
      <w:pPr>
        <w:spacing w:after="39" w:line="259" w:lineRule="auto"/>
        <w:ind w:left="1844" w:right="0"/>
        <w:jc w:val="center"/>
      </w:pPr>
      <w:r>
        <w:rPr>
          <w:b/>
        </w:rPr>
        <w:t>BRUNO HENRIQUE DE OLIVEIRA REGHIN</w:t>
      </w:r>
    </w:p>
    <w:p w:rsidR="00A95BB3" w:rsidRDefault="007146A1" w:rsidP="007146A1">
      <w:pPr>
        <w:spacing w:after="39" w:line="259" w:lineRule="auto"/>
        <w:ind w:left="1844" w:right="125"/>
        <w:jc w:val="center"/>
        <w:sectPr w:rsidR="00A95BB3">
          <w:pgSz w:w="12240" w:h="15840"/>
          <w:pgMar w:top="0" w:right="1850" w:bottom="825" w:left="20" w:header="720" w:footer="720" w:gutter="0"/>
          <w:cols w:space="720"/>
        </w:sectPr>
      </w:pPr>
      <w:r>
        <w:rPr>
          <w:b/>
        </w:rPr>
        <w:t xml:space="preserve">   </w:t>
      </w:r>
      <w:proofErr w:type="spellStart"/>
      <w:r>
        <w:rPr>
          <w:b/>
        </w:rPr>
        <w:t>Engº</w:t>
      </w:r>
      <w:proofErr w:type="spellEnd"/>
      <w:r>
        <w:rPr>
          <w:b/>
        </w:rPr>
        <w:t xml:space="preserve"> Civil – CREA:PR </w:t>
      </w:r>
      <w:proofErr w:type="gramStart"/>
      <w:r>
        <w:rPr>
          <w:b/>
        </w:rPr>
        <w:t>-  129992</w:t>
      </w:r>
      <w:proofErr w:type="gramEnd"/>
      <w:r>
        <w:rPr>
          <w:b/>
        </w:rPr>
        <w:t>/D</w:t>
      </w:r>
    </w:p>
    <w:p w:rsidR="00A95BB3" w:rsidRDefault="00A95BB3" w:rsidP="007146A1">
      <w:pPr>
        <w:spacing w:after="0" w:line="259" w:lineRule="auto"/>
        <w:ind w:left="0" w:right="15458" w:firstLine="0"/>
        <w:jc w:val="left"/>
      </w:pPr>
    </w:p>
    <w:sectPr w:rsidR="00A95BB3">
      <w:pgSz w:w="16898" w:h="11794" w:orient="landscape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BB06B1"/>
    <w:multiLevelType w:val="hybridMultilevel"/>
    <w:tmpl w:val="EAE62F9A"/>
    <w:lvl w:ilvl="0" w:tplc="7812E0E2">
      <w:start w:val="2"/>
      <w:numFmt w:val="decimal"/>
      <w:pStyle w:val="Ttulo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D28E40D2">
      <w:start w:val="1"/>
      <w:numFmt w:val="lowerLetter"/>
      <w:lvlText w:val="%2"/>
      <w:lvlJc w:val="left"/>
      <w:pPr>
        <w:ind w:left="287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2B34E7E6">
      <w:start w:val="1"/>
      <w:numFmt w:val="lowerRoman"/>
      <w:lvlText w:val="%3"/>
      <w:lvlJc w:val="left"/>
      <w:pPr>
        <w:ind w:left="359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1CD0BA14">
      <w:start w:val="1"/>
      <w:numFmt w:val="decimal"/>
      <w:lvlText w:val="%4"/>
      <w:lvlJc w:val="left"/>
      <w:pPr>
        <w:ind w:left="431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2B4A189C">
      <w:start w:val="1"/>
      <w:numFmt w:val="lowerLetter"/>
      <w:lvlText w:val="%5"/>
      <w:lvlJc w:val="left"/>
      <w:pPr>
        <w:ind w:left="503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24090BC">
      <w:start w:val="1"/>
      <w:numFmt w:val="lowerRoman"/>
      <w:lvlText w:val="%6"/>
      <w:lvlJc w:val="left"/>
      <w:pPr>
        <w:ind w:left="575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E44EFEF0">
      <w:start w:val="1"/>
      <w:numFmt w:val="decimal"/>
      <w:lvlText w:val="%7"/>
      <w:lvlJc w:val="left"/>
      <w:pPr>
        <w:ind w:left="647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C2FA76FA">
      <w:start w:val="1"/>
      <w:numFmt w:val="lowerLetter"/>
      <w:lvlText w:val="%8"/>
      <w:lvlJc w:val="left"/>
      <w:pPr>
        <w:ind w:left="719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D0BA1A2A">
      <w:start w:val="1"/>
      <w:numFmt w:val="lowerRoman"/>
      <w:lvlText w:val="%9"/>
      <w:lvlJc w:val="left"/>
      <w:pPr>
        <w:ind w:left="791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627795"/>
    <w:multiLevelType w:val="hybridMultilevel"/>
    <w:tmpl w:val="D35C21C6"/>
    <w:lvl w:ilvl="0" w:tplc="00700356">
      <w:start w:val="1"/>
      <w:numFmt w:val="decimal"/>
      <w:lvlText w:val="%1."/>
      <w:lvlJc w:val="left"/>
      <w:pPr>
        <w:ind w:left="2231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45CACDC6">
      <w:start w:val="1"/>
      <w:numFmt w:val="lowerLetter"/>
      <w:lvlText w:val="%2"/>
      <w:lvlJc w:val="left"/>
      <w:pPr>
        <w:ind w:left="29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B87A9CE4">
      <w:start w:val="1"/>
      <w:numFmt w:val="lowerRoman"/>
      <w:lvlText w:val="%3"/>
      <w:lvlJc w:val="left"/>
      <w:pPr>
        <w:ind w:left="36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73563CE4">
      <w:start w:val="1"/>
      <w:numFmt w:val="decimal"/>
      <w:lvlText w:val="%4"/>
      <w:lvlJc w:val="left"/>
      <w:pPr>
        <w:ind w:left="44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616E0F00">
      <w:start w:val="1"/>
      <w:numFmt w:val="lowerLetter"/>
      <w:lvlText w:val="%5"/>
      <w:lvlJc w:val="left"/>
      <w:pPr>
        <w:ind w:left="513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C12447E">
      <w:start w:val="1"/>
      <w:numFmt w:val="lowerRoman"/>
      <w:lvlText w:val="%6"/>
      <w:lvlJc w:val="left"/>
      <w:pPr>
        <w:ind w:left="585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FB8A8E6C">
      <w:start w:val="1"/>
      <w:numFmt w:val="decimal"/>
      <w:lvlText w:val="%7"/>
      <w:lvlJc w:val="left"/>
      <w:pPr>
        <w:ind w:left="657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5E9E6A2E">
      <w:start w:val="1"/>
      <w:numFmt w:val="lowerLetter"/>
      <w:lvlText w:val="%8"/>
      <w:lvlJc w:val="left"/>
      <w:pPr>
        <w:ind w:left="729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E8B65140">
      <w:start w:val="1"/>
      <w:numFmt w:val="lowerRoman"/>
      <w:lvlText w:val="%9"/>
      <w:lvlJc w:val="left"/>
      <w:pPr>
        <w:ind w:left="8012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35F23B0B"/>
    <w:multiLevelType w:val="multilevel"/>
    <w:tmpl w:val="A1EEB656"/>
    <w:lvl w:ilvl="0">
      <w:start w:val="4"/>
      <w:numFmt w:val="decimal"/>
      <w:lvlText w:val="%1."/>
      <w:lvlJc w:val="left"/>
      <w:pPr>
        <w:ind w:left="208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65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284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7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9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1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3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5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7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517F39AB"/>
    <w:multiLevelType w:val="hybridMultilevel"/>
    <w:tmpl w:val="1A6C2ABA"/>
    <w:lvl w:ilvl="0" w:tplc="9F9A8776">
      <w:start w:val="5"/>
      <w:numFmt w:val="decimal"/>
      <w:lvlText w:val="%1."/>
      <w:lvlJc w:val="left"/>
      <w:pPr>
        <w:ind w:left="24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 w:tplc="1F8C9DEA">
      <w:start w:val="1"/>
      <w:numFmt w:val="lowerLetter"/>
      <w:lvlText w:val="%2"/>
      <w:lvlJc w:val="left"/>
      <w:pPr>
        <w:ind w:left="147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 w:tplc="A5124B50">
      <w:start w:val="1"/>
      <w:numFmt w:val="lowerRoman"/>
      <w:lvlText w:val="%3"/>
      <w:lvlJc w:val="left"/>
      <w:pPr>
        <w:ind w:left="219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 w:tplc="8D86C818">
      <w:start w:val="1"/>
      <w:numFmt w:val="decimal"/>
      <w:lvlText w:val="%4"/>
      <w:lvlJc w:val="left"/>
      <w:pPr>
        <w:ind w:left="291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 w:tplc="BB227E82">
      <w:start w:val="1"/>
      <w:numFmt w:val="lowerLetter"/>
      <w:lvlText w:val="%5"/>
      <w:lvlJc w:val="left"/>
      <w:pPr>
        <w:ind w:left="363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 w:tplc="C7989A58">
      <w:start w:val="1"/>
      <w:numFmt w:val="lowerRoman"/>
      <w:lvlText w:val="%6"/>
      <w:lvlJc w:val="left"/>
      <w:pPr>
        <w:ind w:left="435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 w:tplc="894EDDB6">
      <w:start w:val="1"/>
      <w:numFmt w:val="decimal"/>
      <w:lvlText w:val="%7"/>
      <w:lvlJc w:val="left"/>
      <w:pPr>
        <w:ind w:left="507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 w:tplc="4C304A40">
      <w:start w:val="1"/>
      <w:numFmt w:val="lowerLetter"/>
      <w:lvlText w:val="%8"/>
      <w:lvlJc w:val="left"/>
      <w:pPr>
        <w:ind w:left="579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 w:tplc="FA52D3BE">
      <w:start w:val="1"/>
      <w:numFmt w:val="lowerRoman"/>
      <w:lvlText w:val="%9"/>
      <w:lvlJc w:val="left"/>
      <w:pPr>
        <w:ind w:left="651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15D6A6E"/>
    <w:multiLevelType w:val="multilevel"/>
    <w:tmpl w:val="7E644D3A"/>
    <w:lvl w:ilvl="0">
      <w:start w:val="7"/>
      <w:numFmt w:val="decimal"/>
      <w:lvlText w:val="%1."/>
      <w:lvlJc w:val="left"/>
      <w:pPr>
        <w:ind w:left="2467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2936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5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3"/>
        <w:szCs w:val="23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BB3"/>
    <w:rsid w:val="007146A1"/>
    <w:rsid w:val="00A95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C7E2"/>
  <w15:docId w15:val="{DA9EA93D-55B0-4840-8372-5621BBDD4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5" w:line="248" w:lineRule="auto"/>
      <w:ind w:left="1846" w:right="2" w:hanging="10"/>
      <w:jc w:val="both"/>
    </w:pPr>
    <w:rPr>
      <w:rFonts w:ascii="Arial" w:eastAsia="Arial" w:hAnsi="Arial" w:cs="Arial"/>
      <w:color w:val="000000"/>
      <w:sz w:val="21"/>
    </w:rPr>
  </w:style>
  <w:style w:type="paragraph" w:styleId="Ttulo1">
    <w:name w:val="heading 1"/>
    <w:next w:val="Normal"/>
    <w:link w:val="Ttulo1Char"/>
    <w:uiPriority w:val="9"/>
    <w:qFormat/>
    <w:pPr>
      <w:keepNext/>
      <w:keepLines/>
      <w:numPr>
        <w:numId w:val="5"/>
      </w:numPr>
      <w:spacing w:after="219"/>
      <w:ind w:left="1846" w:hanging="10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Pr>
      <w:rFonts w:ascii="Arial" w:eastAsia="Arial" w:hAnsi="Arial" w:cs="Arial"/>
      <w:b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1350</Words>
  <Characters>7292</Characters>
  <Application>Microsoft Office Word</Application>
  <DocSecurity>0</DocSecurity>
  <Lines>60</Lines>
  <Paragraphs>17</Paragraphs>
  <ScaleCrop>false</ScaleCrop>
  <Company/>
  <LinksUpToDate>false</LinksUpToDate>
  <CharactersWithSpaces>8625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Bruno Reghin</dc:creator>
  <cp:keywords/>
  <cp:lastModifiedBy>Bruno Reghin</cp:lastModifiedBy>
  <cp:revision>2</cp:revision>
  <dcterms:created xsi:type="dcterms:W3CDTF">2020-03-18T18:18:00Z</dcterms:created>
  <dcterms:modified xsi:type="dcterms:W3CDTF">2020-03-18T18:18:00Z</dcterms:modified>
</cp:coreProperties>
</file>