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EA05DA" w:rsidRPr="00B43CFB" w:rsidTr="00EA05DA">
        <w:trPr>
          <w:trHeight w:val="1984"/>
        </w:trPr>
        <w:tc>
          <w:tcPr>
            <w:tcW w:w="7479" w:type="dxa"/>
          </w:tcPr>
          <w:p w:rsidR="00EA05DA" w:rsidRPr="00EA05DA" w:rsidRDefault="00EA05DA" w:rsidP="00EA05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EA05DA" w:rsidRPr="00EA05DA" w:rsidRDefault="00EA05DA" w:rsidP="00EA05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LICITATÓRIO PREGÃO PRESENCIAL Nº. 00</w:t>
            </w: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/2020 </w:t>
            </w: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CONTRATO 023</w:t>
            </w: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/2020.</w:t>
            </w:r>
          </w:p>
          <w:p w:rsidR="00EA05DA" w:rsidRPr="00B43CFB" w:rsidRDefault="00EA05DA" w:rsidP="00EA05DA">
            <w:pPr>
              <w:pStyle w:val="SemEspaamento"/>
              <w:jc w:val="both"/>
              <w:rPr>
                <w:sz w:val="14"/>
                <w:szCs w:val="14"/>
              </w:rPr>
            </w:pP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 xml:space="preserve">Extrato de 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 xml:space="preserve">contrato celebrado entre 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 xml:space="preserve">o Município de Ribeirão do Pinhal, CNPJ n.º 76.968.064/0001-42 e a empresa GENTE SEGURADORA S.A, CNPJ nº. 90.180.605/0001-02. Objeto: contratação de seguros para o Voyage BCV-6J28, Kombi ARP-4356, Kombi ARP-4361, Kombi ARP-4360, Kombi AWA-9588, Ônibus ASD-9331 com cobertura mínima para 12 (doze) meses, podendo ser prorrogado, nos termos artigo 57, inciso II, da Lei 8666/93. Vigência 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>12/03/2021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LOTE 01 - SEGURO KOMBI ARP-4356 – SECRETARIA DE EDUCAÇÃO - VALOR: 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R$ 1.500,00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;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LOTE 02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- SEGURO KOMBI ARP-4361 – SECRETARIA DE EDUCAÇÃO - VALOR: </w:t>
            </w:r>
            <w:proofErr w:type="gramStart"/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R$ 1.500,00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, 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LOTE 03</w:t>
            </w:r>
            <w:proofErr w:type="gramEnd"/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- SEGURO KOMBI ARP-4360 – SECRETARIA DE EDUCAÇÃO - VALOR: R$ 1.500,00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, 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LOTE 04 - SEGURO KOMBI AWA-9588 – SECRETARIA DE EDUCAÇÃO - VALOR: R$ 1.500,00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, 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LOTE 05 - SEGURO ÔNIBUS ASD-9331– SECRETARIA DE EDUCAÇÃO - VALOR: R$ 3.400,00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e 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LOTE 06 - SEGURO VOYAGE BCV-6J28 - VALOR: R$ 1.300,00</w:t>
            </w:r>
            <w:r w:rsidRPr="00EA05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. 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 xml:space="preserve">Data de assinatura: 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>/03/2020, MARCELO WAIS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A05DA">
              <w:rPr>
                <w:rFonts w:asciiTheme="minorHAnsi" w:hAnsiTheme="minorHAnsi" w:cstheme="minorHAnsi"/>
                <w:sz w:val="24"/>
                <w:szCs w:val="24"/>
              </w:rPr>
              <w:t>CPF: 632.005.380-15 e Wagner Luiz de Oliveira Martins, CPF/MF n.º 052.206.749-27.</w:t>
            </w:r>
            <w:bookmarkStart w:id="0" w:name="_GoBack"/>
            <w:bookmarkEnd w:id="0"/>
          </w:p>
        </w:tc>
      </w:tr>
    </w:tbl>
    <w:p w:rsidR="00D03AD3" w:rsidRDefault="00D03AD3">
      <w:pPr>
        <w:rPr>
          <w:rFonts w:cstheme="minorHAnsi"/>
          <w:b/>
          <w:sz w:val="16"/>
          <w:szCs w:val="16"/>
        </w:rPr>
      </w:pPr>
    </w:p>
    <w:p w:rsidR="00EA05DA" w:rsidRDefault="00EA05DA"/>
    <w:sectPr w:rsidR="00EA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8"/>
    <w:rsid w:val="00C07438"/>
    <w:rsid w:val="00D03AD3"/>
    <w:rsid w:val="00E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A05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05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A05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05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2020-03-11T14:01:00Z</dcterms:created>
  <dcterms:modified xsi:type="dcterms:W3CDTF">2020-03-11T14:08:00Z</dcterms:modified>
</cp:coreProperties>
</file>