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D" w:rsidRPr="00E0377B" w:rsidRDefault="00E9274D" w:rsidP="00E9274D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bookmarkStart w:id="0" w:name="_GoBack"/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ATA REGISTRO DE PREÇOS N.º 01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8</w:t>
      </w: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/2020- PREGÃO PRESENCIAL N.º 001/2020.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 Aos dois dias do mês de março de dois mil e vinte (02/03/2020) o Município de Ribeirão do Pinhal – Estado do Paraná, Inscrito sob CNPJ n.º 76.968.064/0001-42, com sede a Rua Paraná n.º 983 – Centro, neste ato representado pelo Prefeito Municipal, o Senhor </w:t>
      </w: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E0377B">
        <w:rPr>
          <w:rFonts w:asciiTheme="minorHAnsi" w:hAnsiTheme="minorHAnsi" w:cstheme="minorHAnsi"/>
          <w:sz w:val="23"/>
          <w:szCs w:val="23"/>
        </w:rPr>
        <w:t>, portador do RG 10733456-2 SSP/PR, inscrito sob CPF/MF n.º 052.206.749-27, brasileiro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E0377B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E9274D">
        <w:rPr>
          <w:rFonts w:ascii="Tahoma" w:hAnsi="Tahoma" w:cs="Tahoma"/>
          <w:b/>
          <w:sz w:val="20"/>
          <w:szCs w:val="20"/>
        </w:rPr>
        <w:t>NEW COMPANY LICITAÇÕES EIRELI</w:t>
      </w:r>
      <w:r w:rsidRPr="00E0377B">
        <w:rPr>
          <w:rFonts w:asciiTheme="minorHAnsi" w:hAnsiTheme="minorHAnsi" w:cstheme="minorHAnsi"/>
          <w:sz w:val="23"/>
          <w:szCs w:val="23"/>
        </w:rPr>
        <w:t xml:space="preserve">, inscrito no CNPJ sob nº. </w:t>
      </w:r>
      <w:r w:rsidRPr="00317ABD">
        <w:rPr>
          <w:rFonts w:ascii="Tahoma" w:hAnsi="Tahoma" w:cs="Tahoma"/>
          <w:sz w:val="20"/>
          <w:szCs w:val="20"/>
        </w:rPr>
        <w:t>32.387.337/0001-90</w:t>
      </w:r>
      <w:r>
        <w:rPr>
          <w:rFonts w:ascii="Tahoma" w:hAnsi="Tahoma" w:cs="Tahoma"/>
          <w:sz w:val="20"/>
          <w:szCs w:val="20"/>
        </w:rPr>
        <w:t xml:space="preserve"> </w:t>
      </w:r>
      <w:r w:rsidRPr="00E0377B">
        <w:rPr>
          <w:rFonts w:asciiTheme="minorHAnsi" w:hAnsiTheme="minorHAnsi" w:cstheme="minorHAnsi"/>
          <w:sz w:val="23"/>
          <w:szCs w:val="23"/>
        </w:rPr>
        <w:t xml:space="preserve">com sede na Rua </w:t>
      </w:r>
      <w:r>
        <w:rPr>
          <w:rFonts w:asciiTheme="minorHAnsi" w:hAnsiTheme="minorHAnsi" w:cstheme="minorHAnsi"/>
          <w:sz w:val="23"/>
          <w:szCs w:val="23"/>
        </w:rPr>
        <w:t>Cambé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1.090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Letra A – Jardim são Rafael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CEP. 86.200-000, na cidade de Ibiporã - Paraná, Fone: (43) </w:t>
      </w:r>
      <w:r>
        <w:rPr>
          <w:rFonts w:asciiTheme="minorHAnsi" w:hAnsiTheme="minorHAnsi" w:cstheme="minorHAnsi"/>
          <w:sz w:val="23"/>
          <w:szCs w:val="23"/>
        </w:rPr>
        <w:t>3258-1172</w:t>
      </w:r>
      <w:r w:rsidRPr="00E0377B">
        <w:rPr>
          <w:rFonts w:asciiTheme="minorHAnsi" w:hAnsiTheme="minorHAnsi" w:cstheme="minorHAnsi"/>
          <w:sz w:val="23"/>
          <w:szCs w:val="23"/>
        </w:rPr>
        <w:t xml:space="preserve"> e-mail </w:t>
      </w:r>
      <w:hyperlink r:id="rId5" w:history="1">
        <w:r w:rsidRPr="00EB5C2A">
          <w:rPr>
            <w:rStyle w:val="Hyperlink"/>
            <w:rFonts w:asciiTheme="minorHAnsi" w:hAnsiTheme="minorHAnsi" w:cstheme="minorHAnsi"/>
            <w:sz w:val="23"/>
            <w:szCs w:val="23"/>
          </w:rPr>
          <w:t>carlos-rossato@uol.com.br</w:t>
        </w:r>
      </w:hyperlink>
      <w:r>
        <w:rPr>
          <w:rFonts w:asciiTheme="minorHAnsi" w:hAnsiTheme="minorHAnsi" w:cstheme="minorHAnsi"/>
          <w:sz w:val="23"/>
          <w:szCs w:val="23"/>
        </w:rPr>
        <w:t>, neste ato representado pela</w:t>
      </w:r>
      <w:r w:rsidRPr="00E0377B">
        <w:rPr>
          <w:rFonts w:asciiTheme="minorHAnsi" w:hAnsiTheme="minorHAnsi" w:cstheme="minorHAnsi"/>
          <w:sz w:val="23"/>
          <w:szCs w:val="23"/>
        </w:rPr>
        <w:t xml:space="preserve"> Senhor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E0377B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 xml:space="preserve">MARIA </w:t>
      </w:r>
      <w:r w:rsidR="009559E8">
        <w:rPr>
          <w:rFonts w:asciiTheme="minorHAnsi" w:hAnsiTheme="minorHAnsi" w:cstheme="minorHAnsi"/>
          <w:b/>
          <w:sz w:val="23"/>
          <w:szCs w:val="23"/>
        </w:rPr>
        <w:t>EDUARDA GOMES RODOV</w:t>
      </w:r>
      <w:r>
        <w:rPr>
          <w:rFonts w:asciiTheme="minorHAnsi" w:hAnsiTheme="minorHAnsi" w:cstheme="minorHAnsi"/>
          <w:b/>
          <w:sz w:val="23"/>
          <w:szCs w:val="23"/>
        </w:rPr>
        <w:t>ALHO</w:t>
      </w:r>
      <w:r>
        <w:rPr>
          <w:rFonts w:asciiTheme="minorHAnsi" w:hAnsiTheme="minorHAnsi" w:cstheme="minorHAnsi"/>
          <w:sz w:val="23"/>
          <w:szCs w:val="23"/>
        </w:rPr>
        <w:t>, brasileira</w:t>
      </w:r>
      <w:r w:rsidRPr="00E0377B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solteira</w:t>
      </w:r>
      <w:r w:rsidRPr="00E0377B">
        <w:rPr>
          <w:rFonts w:asciiTheme="minorHAnsi" w:hAnsiTheme="minorHAnsi" w:cstheme="minorHAnsi"/>
          <w:sz w:val="23"/>
          <w:szCs w:val="23"/>
        </w:rPr>
        <w:t>, empresári</w:t>
      </w:r>
      <w:r>
        <w:rPr>
          <w:rFonts w:asciiTheme="minorHAnsi" w:hAnsiTheme="minorHAnsi" w:cstheme="minorHAnsi"/>
          <w:sz w:val="23"/>
          <w:szCs w:val="23"/>
        </w:rPr>
        <w:t>a, residente e domiciliada</w:t>
      </w:r>
      <w:r w:rsidRPr="00E0377B">
        <w:rPr>
          <w:rFonts w:asciiTheme="minorHAnsi" w:hAnsiTheme="minorHAnsi" w:cstheme="minorHAnsi"/>
          <w:sz w:val="23"/>
          <w:szCs w:val="23"/>
        </w:rPr>
        <w:t xml:space="preserve"> a Rua Wilson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Boti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 xml:space="preserve"> - 170 – Jardim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Las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 xml:space="preserve"> Vegas – CEP: 86.200-000 - Ibiporã - PR., portador</w:t>
      </w:r>
      <w:r>
        <w:rPr>
          <w:rFonts w:asciiTheme="minorHAnsi" w:hAnsiTheme="minorHAnsi" w:cstheme="minorHAnsi"/>
          <w:sz w:val="23"/>
          <w:szCs w:val="23"/>
        </w:rPr>
        <w:t xml:space="preserve">a </w:t>
      </w:r>
      <w:r w:rsidRPr="00E0377B">
        <w:rPr>
          <w:rFonts w:asciiTheme="minorHAnsi" w:hAnsiTheme="minorHAnsi" w:cstheme="minorHAnsi"/>
          <w:sz w:val="23"/>
          <w:szCs w:val="23"/>
        </w:rPr>
        <w:t xml:space="preserve">de Cédula de Identidade n.º </w:t>
      </w:r>
      <w:r>
        <w:rPr>
          <w:rFonts w:asciiTheme="minorHAnsi" w:hAnsiTheme="minorHAnsi" w:cstheme="minorHAnsi"/>
          <w:sz w:val="23"/>
          <w:szCs w:val="23"/>
        </w:rPr>
        <w:t>10.842.009-0</w:t>
      </w:r>
      <w:r w:rsidRPr="00E0377B">
        <w:rPr>
          <w:rFonts w:asciiTheme="minorHAnsi" w:hAnsiTheme="minorHAnsi" w:cstheme="minorHAnsi"/>
          <w:sz w:val="23"/>
          <w:szCs w:val="23"/>
        </w:rPr>
        <w:t xml:space="preserve"> SESP/PR e inscrito sob CPF/MF n.º </w:t>
      </w:r>
      <w:r>
        <w:rPr>
          <w:rFonts w:asciiTheme="minorHAnsi" w:hAnsiTheme="minorHAnsi" w:cstheme="minorHAnsi"/>
          <w:sz w:val="23"/>
          <w:szCs w:val="23"/>
        </w:rPr>
        <w:t>114.507.689-03</w:t>
      </w:r>
      <w:r w:rsidRPr="00E0377B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E0377B">
        <w:rPr>
          <w:rFonts w:asciiTheme="minorHAnsi" w:hAnsiTheme="minorHAnsi" w:cstheme="minorHAnsi"/>
          <w:sz w:val="23"/>
          <w:szCs w:val="23"/>
        </w:rPr>
        <w:t xml:space="preserve"> resolvem celebrar entre si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E9274D" w:rsidRPr="00E0377B" w:rsidRDefault="00E9274D" w:rsidP="00E9274D">
      <w:pPr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O presente contrato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parceladamente, conforme solicitação da Secretaria de Educação, obrigando-se a </w:t>
      </w:r>
      <w:r w:rsidRPr="00E0377B">
        <w:rPr>
          <w:rFonts w:cstheme="minorHAnsi"/>
          <w:b/>
          <w:sz w:val="23"/>
          <w:szCs w:val="23"/>
          <w:u w:val="single"/>
        </w:rPr>
        <w:t xml:space="preserve">CONTRATADA </w:t>
      </w:r>
      <w:r w:rsidRPr="00E0377B">
        <w:rPr>
          <w:rFonts w:cstheme="minorHAnsi"/>
          <w:sz w:val="23"/>
          <w:szCs w:val="23"/>
        </w:rPr>
        <w:t xml:space="preserve">a executar em favor </w:t>
      </w:r>
      <w:proofErr w:type="gramStart"/>
      <w:r w:rsidRPr="00E0377B">
        <w:rPr>
          <w:rFonts w:cstheme="minorHAnsi"/>
          <w:sz w:val="23"/>
          <w:szCs w:val="23"/>
        </w:rPr>
        <w:t>da</w:t>
      </w:r>
      <w:proofErr w:type="gramEnd"/>
      <w:r w:rsidRPr="00E0377B">
        <w:rPr>
          <w:rFonts w:cstheme="minorHAnsi"/>
          <w:sz w:val="23"/>
          <w:szCs w:val="23"/>
        </w:rPr>
        <w:t xml:space="preserve"> </w:t>
      </w:r>
      <w:r w:rsidRPr="00E0377B">
        <w:rPr>
          <w:rFonts w:cstheme="minorHAnsi"/>
          <w:b/>
          <w:sz w:val="23"/>
          <w:szCs w:val="23"/>
          <w:u w:val="single"/>
        </w:rPr>
        <w:t xml:space="preserve">CONTRATANTE </w:t>
      </w:r>
      <w:r w:rsidRPr="00E0377B">
        <w:rPr>
          <w:rFonts w:cstheme="minorHAnsi"/>
          <w:sz w:val="23"/>
          <w:szCs w:val="23"/>
        </w:rPr>
        <w:t xml:space="preserve">o fornecimento dos itens constantes nesse instrumento, conforme consta na proposta anexada ao Processo Licitatório Modalidade Pregão Presencial, registrado sob n.º 001/2020, a qual fará parte integrante deste instrumento. </w:t>
      </w:r>
    </w:p>
    <w:p w:rsidR="00E9274D" w:rsidRPr="00E0377B" w:rsidRDefault="00E9274D" w:rsidP="00E9274D">
      <w:pPr>
        <w:rPr>
          <w:rFonts w:cstheme="minorHAnsi"/>
          <w:b/>
          <w:sz w:val="23"/>
          <w:szCs w:val="23"/>
        </w:rPr>
      </w:pPr>
      <w:r w:rsidRPr="00E0377B">
        <w:rPr>
          <w:rFonts w:cstheme="minorHAnsi"/>
          <w:b/>
          <w:sz w:val="23"/>
          <w:szCs w:val="23"/>
          <w:u w:val="single"/>
        </w:rPr>
        <w:t>CLÁUSULA SEGUNDA</w:t>
      </w:r>
      <w:r w:rsidRPr="00E0377B">
        <w:rPr>
          <w:rFonts w:cstheme="minorHAnsi"/>
          <w:b/>
          <w:sz w:val="23"/>
          <w:szCs w:val="23"/>
        </w:rPr>
        <w:t xml:space="preserve"> – DA VIGÊNCIA 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terá início na data de sua assinatura e vigorará até </w:t>
      </w:r>
      <w:r w:rsidRPr="00E0377B">
        <w:rPr>
          <w:rFonts w:asciiTheme="minorHAnsi" w:hAnsiTheme="minorHAnsi" w:cstheme="minorHAnsi"/>
          <w:b/>
          <w:sz w:val="23"/>
          <w:szCs w:val="23"/>
        </w:rPr>
        <w:t>31/12/2020</w:t>
      </w:r>
      <w:r w:rsidRPr="00E0377B">
        <w:rPr>
          <w:rFonts w:asciiTheme="minorHAnsi" w:hAnsiTheme="minorHAnsi" w:cstheme="minorHAnsi"/>
          <w:sz w:val="23"/>
          <w:szCs w:val="23"/>
        </w:rPr>
        <w:t>, podendo ser prorrogado por igual período, ou até final do saldo estipulado, dependendo do interesse da Administração Pública Municipal. 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PREÇO DOS BENS E DAS QUANTIDADES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B23420" w:rsidRDefault="00E9274D" w:rsidP="00E9274D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Os valores para aquisição do objeto do Processo são os que constam na proposta enviada pela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E9274D" w:rsidRPr="00854FB9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9274D" w:rsidRPr="00854FB9" w:rsidRDefault="00E9274D" w:rsidP="00C07EEF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74D" w:rsidRPr="00854FB9" w:rsidRDefault="00E9274D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9274D" w:rsidRPr="00854FB9" w:rsidRDefault="00E9274D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E9274D" w:rsidRPr="00854FB9" w:rsidRDefault="00E9274D" w:rsidP="00C07EEF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74D" w:rsidRPr="00854FB9" w:rsidRDefault="00E9274D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74D" w:rsidRPr="00854FB9" w:rsidRDefault="00E9274D" w:rsidP="00C07EE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9274D" w:rsidRPr="00BA7AD7" w:rsidRDefault="00E9274D" w:rsidP="00C07EE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E9274D" w:rsidRPr="009559E8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eastAsia="Arial Unicode MS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ARROZ: Grãos comestíveis de arroz “in Natura”, provenientes da espécie </w:t>
            </w:r>
            <w:proofErr w:type="spell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Oryza</w:t>
            </w:r>
            <w:proofErr w:type="spell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sativa. Classificação:</w:t>
            </w: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Beneficiado, polido, longo fino (agulhinha), tipo </w:t>
            </w:r>
            <w:proofErr w:type="gram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proofErr w:type="gram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medindo 6 </w:t>
            </w:r>
            <w:proofErr w:type="spell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mm.</w:t>
            </w:r>
            <w:proofErr w:type="spell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Procedência: deve ser de procedência Nacional. Safra: corrente. Teste de cocção: Deve obter os seguintes resultados: Cozimento em 15 minutos (Máximo); Positivo: 100% dos grãos cozidos. Volume: mínimo de 3,0 vezes. Val. Mín.: 10 meses. </w:t>
            </w: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C/ 06 unid. </w:t>
            </w:r>
            <w:proofErr w:type="gram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de</w:t>
            </w:r>
            <w:proofErr w:type="gram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05kg. (ITEM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59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Tuquinha</w:t>
            </w:r>
            <w:proofErr w:type="spellEnd"/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74D" w:rsidRPr="009559E8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64,77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4D" w:rsidRPr="009559E8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17487,90</w:t>
            </w:r>
          </w:p>
        </w:tc>
      </w:tr>
      <w:tr w:rsidR="00E9274D" w:rsidRPr="009559E8" w:rsidTr="000A177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Litro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LEITE INTEGRAL acondicionado na embalagem tetra </w:t>
            </w:r>
            <w:proofErr w:type="spell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brick</w:t>
            </w:r>
            <w:proofErr w:type="spell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01 litro, contendo externamente os dados de identificação, procedência, informação nutricional, número de lote, data de validade, quantidade de produto, numero de registro no Ministério da Agricultura</w:t>
            </w:r>
            <w:proofErr w:type="gram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 do Regulamento da inspeção industrial e sanitária de produtos de origem animal do Ministério da Agricultura, apresentar cor, sabor e odor próprio. Validade mínima de </w:t>
            </w:r>
            <w:proofErr w:type="gram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proofErr w:type="gram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meses da entrega na unidade. (ITEM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Cativa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74D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2,54</w:t>
            </w: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P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4D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73660,00</w:t>
            </w: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P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74D" w:rsidRPr="009559E8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eastAsia="Arial Unicode MS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MACARRÃO (AVE MARIA) 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fabricado a partir de matérias-primas sãs e limpas</w:t>
            </w:r>
            <w:proofErr w:type="gram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isentas de matéria terrosa e de parasitos. Deverá ser fabricado com ovos, na proporção mínima de </w:t>
            </w:r>
            <w:proofErr w:type="gramStart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proofErr w:type="gramEnd"/>
            <w:r w:rsidRPr="009559E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ovos por quilo. Será permitido o enriquecimento com vitaminas, minerais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1 kg. (ITEM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D’Mille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74D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3,35</w:t>
            </w: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P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4D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2680,00</w:t>
            </w: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59E8" w:rsidRP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74D" w:rsidRPr="009559E8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D" w:rsidRPr="009559E8" w:rsidRDefault="00E9274D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274D" w:rsidRPr="009559E8" w:rsidRDefault="009559E8" w:rsidP="009559E8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93827,90</w:t>
            </w:r>
          </w:p>
        </w:tc>
      </w:tr>
    </w:tbl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Durante a vigência desta Ata de Registro de Preços, os preços serão fixos e irreajustáveis. Os preços registrados poderão ser revistos nas hipóteses previstas nos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. 17 e 18 do Decreto n.º 7.892/2013.</w:t>
      </w:r>
    </w:p>
    <w:p w:rsidR="00E9274D" w:rsidRPr="00E0377B" w:rsidRDefault="00E9274D" w:rsidP="00E9274D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QUARTA</w:t>
      </w:r>
      <w:r w:rsidRPr="00E0377B">
        <w:rPr>
          <w:rFonts w:cstheme="minorHAnsi"/>
          <w:b/>
          <w:bCs/>
          <w:sz w:val="23"/>
          <w:szCs w:val="23"/>
        </w:rPr>
        <w:t xml:space="preserve"> – DA FORMA DE PAGAMENTO</w:t>
      </w:r>
      <w:r w:rsidRPr="00E0377B">
        <w:rPr>
          <w:rFonts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 pagamento será efetuado por depósito em 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conta corrente </w:t>
      </w:r>
      <w:r w:rsidR="009559E8">
        <w:rPr>
          <w:rFonts w:asciiTheme="minorHAnsi" w:hAnsiTheme="minorHAnsi" w:cstheme="minorHAnsi"/>
          <w:b/>
          <w:sz w:val="23"/>
          <w:szCs w:val="23"/>
        </w:rPr>
        <w:t>38363-5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Agência </w:t>
      </w:r>
      <w:r w:rsidR="009559E8">
        <w:rPr>
          <w:rFonts w:asciiTheme="minorHAnsi" w:hAnsiTheme="minorHAnsi" w:cstheme="minorHAnsi"/>
          <w:b/>
          <w:sz w:val="23"/>
          <w:szCs w:val="23"/>
        </w:rPr>
        <w:t>2755-3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BANCO DO BRASIL</w:t>
      </w:r>
      <w:r w:rsidRPr="00E0377B">
        <w:rPr>
          <w:rFonts w:asciiTheme="minorHAnsi" w:hAnsiTheme="minorHAnsi" w:cstheme="minorHAnsi"/>
          <w:sz w:val="23"/>
          <w:szCs w:val="23"/>
        </w:rPr>
        <w:t xml:space="preserve">, até o 15º dia útil do mês subsequente, contados da data da entrega da fatura, devendo salientar que </w:t>
      </w:r>
      <w:r w:rsidRPr="00E0377B">
        <w:rPr>
          <w:rFonts w:asciiTheme="minorHAnsi" w:hAnsiTheme="minorHAnsi" w:cstheme="minorHAnsi"/>
          <w:bCs/>
          <w:sz w:val="23"/>
          <w:szCs w:val="23"/>
        </w:rPr>
        <w:t>j</w:t>
      </w:r>
      <w:r w:rsidRPr="00E0377B">
        <w:rPr>
          <w:rFonts w:asciiTheme="minorHAnsi" w:hAnsiTheme="minorHAnsi" w:cstheme="minorHAnsi"/>
          <w:sz w:val="23"/>
          <w:szCs w:val="23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.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lastRenderedPageBreak/>
        <w:t> </w:t>
      </w: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DOTAÇÃO ORÇAMENTÁRIA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As despesas com a execução deste contrato correrão no orçamento da Dotação Orçamentária:</w:t>
      </w:r>
    </w:p>
    <w:p w:rsidR="00E9274D" w:rsidRPr="009559E8" w:rsidRDefault="00E9274D" w:rsidP="009559E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07. 001.12361000920183390320000-0860-000,0870-</w:t>
      </w:r>
      <w:proofErr w:type="gramStart"/>
      <w:r w:rsidRPr="009559E8">
        <w:rPr>
          <w:rFonts w:asciiTheme="minorHAnsi" w:hAnsiTheme="minorHAnsi" w:cstheme="minorHAnsi"/>
          <w:sz w:val="22"/>
          <w:szCs w:val="22"/>
        </w:rPr>
        <w:t>110</w:t>
      </w:r>
      <w:r w:rsidR="009559E8" w:rsidRPr="009559E8">
        <w:rPr>
          <w:rFonts w:asciiTheme="minorHAnsi" w:hAnsiTheme="minorHAnsi" w:cstheme="minorHAnsi"/>
          <w:sz w:val="22"/>
          <w:szCs w:val="22"/>
        </w:rPr>
        <w:t>/</w:t>
      </w:r>
      <w:r w:rsidRPr="009559E8">
        <w:rPr>
          <w:rFonts w:asciiTheme="minorHAnsi" w:hAnsiTheme="minorHAnsi" w:cstheme="minorHAnsi"/>
          <w:sz w:val="22"/>
          <w:szCs w:val="22"/>
        </w:rPr>
        <w:t>12.361.</w:t>
      </w:r>
      <w:proofErr w:type="gramEnd"/>
      <w:r w:rsidRPr="009559E8">
        <w:rPr>
          <w:rFonts w:asciiTheme="minorHAnsi" w:hAnsiTheme="minorHAnsi" w:cstheme="minorHAnsi"/>
          <w:sz w:val="22"/>
          <w:szCs w:val="22"/>
        </w:rPr>
        <w:t>009.2020-3390300000-1070-103 e 1080-104</w:t>
      </w:r>
      <w:r w:rsidR="009559E8" w:rsidRPr="009559E8">
        <w:rPr>
          <w:rFonts w:asciiTheme="minorHAnsi" w:hAnsiTheme="minorHAnsi" w:cstheme="minorHAnsi"/>
          <w:sz w:val="22"/>
          <w:szCs w:val="22"/>
        </w:rPr>
        <w:t>/</w:t>
      </w:r>
      <w:r w:rsidRPr="009559E8">
        <w:rPr>
          <w:rFonts w:asciiTheme="minorHAnsi" w:hAnsiTheme="minorHAnsi" w:cstheme="minorHAnsi"/>
          <w:sz w:val="22"/>
          <w:szCs w:val="22"/>
        </w:rPr>
        <w:t>12.361.009.2021-3390300000-1200-103 e 1210-104</w:t>
      </w:r>
      <w:r w:rsidR="009559E8" w:rsidRPr="009559E8">
        <w:rPr>
          <w:rFonts w:asciiTheme="minorHAnsi" w:hAnsiTheme="minorHAnsi" w:cstheme="minorHAnsi"/>
          <w:sz w:val="22"/>
          <w:szCs w:val="22"/>
        </w:rPr>
        <w:t>/</w:t>
      </w:r>
      <w:r w:rsidRPr="009559E8">
        <w:rPr>
          <w:rFonts w:asciiTheme="minorHAnsi" w:hAnsiTheme="minorHAnsi" w:cstheme="minorHAnsi"/>
          <w:sz w:val="22"/>
          <w:szCs w:val="22"/>
        </w:rPr>
        <w:t>12.361.009.2022-3390300000-1360-103 e 1370-104.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DO CONTRATANTE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bCs/>
          <w:sz w:val="23"/>
          <w:szCs w:val="23"/>
        </w:rPr>
        <w:t>1</w:t>
      </w:r>
      <w:proofErr w:type="gramEnd"/>
      <w:r w:rsidRPr="00E0377B">
        <w:rPr>
          <w:rFonts w:asciiTheme="minorHAnsi" w:hAnsiTheme="minorHAnsi" w:cstheme="minorHAnsi"/>
          <w:bCs/>
          <w:sz w:val="23"/>
          <w:szCs w:val="23"/>
        </w:rPr>
        <w:t>) Efetuar os pagamentos mediante comprovação de execução dos serviços correspondentes, e de acordo com a cláusula quarta.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DA CONTRATADA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9559E8" w:rsidRDefault="00E9274D" w:rsidP="009559E8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9559E8">
        <w:rPr>
          <w:rFonts w:asciiTheme="minorHAnsi" w:hAnsiTheme="minorHAnsi" w:cstheme="minorHAnsi"/>
          <w:sz w:val="23"/>
          <w:szCs w:val="23"/>
        </w:rPr>
        <w:t xml:space="preserve">Para garantir o fiel cumprimento do presente contrato, 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a </w:t>
      </w:r>
      <w:r w:rsidRPr="009559E8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e</w:t>
      </w:r>
      <w:r w:rsidRPr="009559E8">
        <w:rPr>
          <w:rFonts w:asciiTheme="minorHAnsi" w:hAnsiTheme="minorHAnsi" w:cstheme="minorHAnsi"/>
          <w:sz w:val="23"/>
          <w:szCs w:val="23"/>
        </w:rPr>
        <w:t xml:space="preserve"> compromete a: 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1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 xml:space="preserve">) Fornecer os produtos </w:t>
      </w:r>
      <w:r w:rsidRPr="009559E8">
        <w:rPr>
          <w:rFonts w:asciiTheme="minorHAnsi" w:hAnsiTheme="minorHAnsi" w:cstheme="minorHAnsi"/>
          <w:sz w:val="23"/>
          <w:szCs w:val="23"/>
        </w:rPr>
        <w:t xml:space="preserve">ora contratados de acordo com a solicitação do CONTRATANTE e proposta apresentada </w:t>
      </w:r>
      <w:r w:rsidRPr="009559E8">
        <w:rPr>
          <w:rFonts w:asciiTheme="minorHAnsi" w:hAnsiTheme="minorHAnsi" w:cstheme="minorHAnsi"/>
          <w:bCs/>
          <w:sz w:val="23"/>
          <w:szCs w:val="23"/>
        </w:rPr>
        <w:t>até o final do prazo estipulado.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2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Fornecer os produtos sem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qualquer outro custo.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3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Zelar pela qualidade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do objeto</w:t>
      </w:r>
      <w:r w:rsidRPr="009559E8">
        <w:rPr>
          <w:rFonts w:asciiTheme="minorHAnsi" w:hAnsiTheme="minorHAnsi" w:cstheme="minorHAnsi"/>
          <w:sz w:val="23"/>
          <w:szCs w:val="23"/>
        </w:rPr>
        <w:t xml:space="preserve"> fornecido;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4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Responsabilizar-se pelos eventuais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danos</w:t>
      </w:r>
      <w:r w:rsidRPr="009559E8">
        <w:rPr>
          <w:rFonts w:asciiTheme="minorHAnsi" w:hAnsiTheme="minorHAnsi" w:cstheme="minorHAnsi"/>
          <w:sz w:val="23"/>
          <w:szCs w:val="23"/>
        </w:rPr>
        <w:t xml:space="preserve"> e prejuízos que a qualquer título vier a causar ao CONTRATANTE, principalmente em decorrência da má qualidade dos serviços; 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5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Manter em dia as obrigações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concernentes</w:t>
      </w:r>
      <w:r w:rsidRPr="009559E8">
        <w:rPr>
          <w:rFonts w:asciiTheme="minorHAnsi" w:hAnsiTheme="minorHAnsi" w:cstheme="minorHAnsi"/>
          <w:sz w:val="23"/>
          <w:szCs w:val="23"/>
        </w:rPr>
        <w:t xml:space="preserve"> à seguridade social e contribuição ao FGTS, durante toda a vigência deste contrato, sendo as mesmas peças fundamentais para o recebimento das Notas Fiscais / Faturas;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6</w:t>
      </w:r>
      <w:proofErr w:type="gramEnd"/>
      <w:r w:rsidRPr="009559E8">
        <w:rPr>
          <w:rFonts w:asciiTheme="minorHAnsi" w:hAnsiTheme="minorHAnsi" w:cstheme="minorHAnsi"/>
          <w:b/>
          <w:sz w:val="23"/>
          <w:szCs w:val="23"/>
        </w:rPr>
        <w:t>) Entregar os produtos livres de</w:t>
      </w:r>
      <w:r w:rsidRPr="009559E8">
        <w:rPr>
          <w:rFonts w:asciiTheme="minorHAnsi" w:hAnsiTheme="minorHAnsi" w:cstheme="minorHAnsi"/>
          <w:sz w:val="23"/>
          <w:szCs w:val="23"/>
        </w:rPr>
        <w:t xml:space="preserve"> frete e outras despesas na sede da Cozinha Central </w:t>
      </w:r>
      <w:r w:rsidRPr="009559E8">
        <w:rPr>
          <w:rFonts w:asciiTheme="minorHAnsi" w:hAnsiTheme="minorHAnsi" w:cstheme="minorHAnsi"/>
          <w:b/>
          <w:sz w:val="23"/>
          <w:szCs w:val="23"/>
        </w:rPr>
        <w:t>Rua Espírito Santo n.º 1017 - Fone:(43) 35512246</w:t>
      </w:r>
      <w:r w:rsidRPr="009559E8">
        <w:rPr>
          <w:rFonts w:asciiTheme="minorHAnsi" w:hAnsiTheme="minorHAnsi" w:cstheme="minorHAnsi"/>
          <w:sz w:val="23"/>
          <w:szCs w:val="23"/>
        </w:rPr>
        <w:t>;</w:t>
      </w:r>
    </w:p>
    <w:p w:rsidR="00E9274D" w:rsidRPr="009559E8" w:rsidRDefault="00E9274D" w:rsidP="00E9274D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7</w:t>
      </w:r>
      <w:proofErr w:type="gramEnd"/>
      <w:r w:rsidRPr="009559E8">
        <w:rPr>
          <w:rFonts w:asciiTheme="minorHAnsi" w:hAnsiTheme="minorHAnsi" w:cstheme="minorHAnsi"/>
          <w:sz w:val="23"/>
          <w:szCs w:val="23"/>
        </w:rPr>
        <w:t xml:space="preserve">) </w:t>
      </w:r>
      <w:r w:rsidRPr="009559E8">
        <w:rPr>
          <w:rFonts w:asciiTheme="minorHAnsi" w:hAnsiTheme="minorHAnsi" w:cstheme="minorHAnsi"/>
          <w:b/>
          <w:sz w:val="23"/>
          <w:szCs w:val="23"/>
        </w:rPr>
        <w:t>Fornecer produtos de qualidade e com prazos de validade mínimos de 90 dias contados a partir da data de entrega.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E9274D" w:rsidRPr="00E0377B" w:rsidRDefault="00E9274D" w:rsidP="00E9274D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3"/>
          <w:szCs w:val="23"/>
          <w:u w:val="single"/>
        </w:rPr>
      </w:pP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OITAVA - </w:t>
      </w:r>
      <w:r w:rsidRPr="00E0377B">
        <w:rPr>
          <w:rStyle w:val="Forte"/>
          <w:rFonts w:asciiTheme="minorHAnsi" w:hAnsiTheme="minorHAnsi" w:cstheme="minorHAnsi"/>
          <w:sz w:val="23"/>
          <w:szCs w:val="23"/>
          <w:u w:val="single"/>
        </w:rPr>
        <w:t>DA FRAUDE E DA CORRUPÇÃO</w:t>
      </w:r>
    </w:p>
    <w:p w:rsidR="00E9274D" w:rsidRPr="00E0377B" w:rsidRDefault="00E9274D" w:rsidP="00E9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</w:p>
    <w:p w:rsidR="00E9274D" w:rsidRPr="00E0377B" w:rsidRDefault="00E9274D" w:rsidP="00E9274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Para os propósitos desta cláusula definem-se as seguintes práticas: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b) “prática fraudulenta”: a falsificação ou omissão dos fatos, com o objetivo de influenciar o processo de licitação ou de execução de contrato;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c) “prática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e) “prática obstrutiva”: (i) destruir, falsificar, alterar ou ocultar provas em inspeções ou fazer declarações falsas aos representantes do organismo financeiro multilateral, com o objetivo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de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lastRenderedPageBreak/>
        <w:t>impedir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materialmente a apuração de alegações de prática prevista acima; (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ii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) atos cuja intenção seja impedir materialmente o exercício do direito de o organismo financeiro multilateral promover inspeção.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, coercitivas ou obstrutivas ao participar da licitação ou da execução um contrato financiado pelo organismo. </w:t>
      </w:r>
    </w:p>
    <w:p w:rsidR="00E9274D" w:rsidRPr="00E0377B" w:rsidRDefault="00E9274D" w:rsidP="00E9274D">
      <w:pPr>
        <w:spacing w:after="0" w:line="285" w:lineRule="atLeast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03 - Considerando os propósitos das cláusulas acima, o licitante vencedor, como condição para </w:t>
      </w:r>
      <w:proofErr w:type="gramStart"/>
      <w:r w:rsidRPr="00E0377B">
        <w:rPr>
          <w:rFonts w:cstheme="minorHAnsi"/>
          <w:sz w:val="23"/>
          <w:szCs w:val="23"/>
        </w:rPr>
        <w:t>a</w:t>
      </w:r>
      <w:proofErr w:type="gramEnd"/>
      <w:r w:rsidRPr="00E0377B">
        <w:rPr>
          <w:rFonts w:cstheme="minorHAnsi"/>
          <w:sz w:val="23"/>
          <w:szCs w:val="23"/>
        </w:rPr>
        <w:t> </w:t>
      </w:r>
    </w:p>
    <w:p w:rsidR="00E9274D" w:rsidRPr="00E0377B" w:rsidRDefault="00E9274D" w:rsidP="00E9274D">
      <w:pPr>
        <w:spacing w:after="0" w:line="285" w:lineRule="atLeast"/>
        <w:jc w:val="both"/>
        <w:rPr>
          <w:rFonts w:cstheme="minorHAnsi"/>
          <w:sz w:val="23"/>
          <w:szCs w:val="23"/>
        </w:rPr>
      </w:pPr>
      <w:proofErr w:type="gramStart"/>
      <w:r w:rsidRPr="00E0377B">
        <w:rPr>
          <w:rFonts w:cstheme="minorHAnsi"/>
          <w:sz w:val="23"/>
          <w:szCs w:val="23"/>
        </w:rPr>
        <w:t>contratação</w:t>
      </w:r>
      <w:proofErr w:type="gramEnd"/>
      <w:r w:rsidRPr="00E0377B">
        <w:rPr>
          <w:rFonts w:cstheme="minorHAnsi"/>
          <w:sz w:val="23"/>
          <w:szCs w:val="23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9274D" w:rsidRPr="00E0377B" w:rsidRDefault="00E9274D" w:rsidP="00E9274D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NONA</w:t>
      </w:r>
      <w:r w:rsidRPr="00E0377B">
        <w:rPr>
          <w:rFonts w:cstheme="minorHAnsi"/>
          <w:b/>
          <w:bCs/>
          <w:sz w:val="23"/>
          <w:szCs w:val="23"/>
        </w:rPr>
        <w:t xml:space="preserve"> – DAS PENALIDADES</w:t>
      </w:r>
      <w:r w:rsidRPr="00E0377B">
        <w:rPr>
          <w:rFonts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Cs/>
          <w:sz w:val="23"/>
          <w:szCs w:val="23"/>
        </w:rPr>
        <w:t>A recusa no fornecimento do objeto, sem motivo justificado e aceito pela Administração, constitui-se em falta grave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sujeitando 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CONTRATADA,</w:t>
      </w:r>
      <w:r w:rsidRPr="00E0377B">
        <w:rPr>
          <w:rFonts w:asciiTheme="minorHAnsi" w:hAnsiTheme="minorHAnsi" w:cstheme="minorHAnsi"/>
          <w:sz w:val="23"/>
          <w:szCs w:val="23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9274D" w:rsidRPr="00E0377B" w:rsidRDefault="00E9274D" w:rsidP="00E9274D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) </w:t>
      </w:r>
      <w:r w:rsidRPr="00E0377B">
        <w:rPr>
          <w:rFonts w:asciiTheme="minorHAnsi" w:hAnsiTheme="minorHAnsi" w:cstheme="minorHAnsi"/>
          <w:bCs/>
          <w:sz w:val="23"/>
          <w:szCs w:val="23"/>
        </w:rPr>
        <w:t xml:space="preserve">multa de 25 % sobre o valor total da ata </w:t>
      </w:r>
      <w:r w:rsidRPr="00E0377B">
        <w:rPr>
          <w:rFonts w:asciiTheme="minorHAnsi" w:hAnsiTheme="minorHAnsi" w:cstheme="minorHAnsi"/>
          <w:sz w:val="23"/>
          <w:szCs w:val="23"/>
        </w:rPr>
        <w:t>que, em caso de não pagamento, será encaminhada para a dívida ativa do Município, visando a sua execução;</w:t>
      </w:r>
    </w:p>
    <w:p w:rsidR="00E9274D" w:rsidRPr="00E0377B" w:rsidRDefault="00E9274D" w:rsidP="00E9274D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b)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  Emissão e Publicação de Declaração de Inidoneidade em veículo de imprensa regional, estadual e nacional.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RENÚNCIA E DA RESCISÃO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poderá ser renunciada, por acordo entre as partes, mediante notificação expressa, com antecedência mínima de 10 (dez) dias da data desejada para o encerramento, em conformidade com o art. 79, II da Lei 8.666/93.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DÉCIMA PRIMEIRA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– DA PUBLICAÇÃO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Para eficácia do presente instrumento, o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 providenciará sua publicação em veículo de grande circulação, em forma de extrato, em conformidade com o disposto no art. 61, Parágrafo Único, da Lei 8666/93. 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SEGUNDA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DOS DOCUMENTOS INTEGRANTES </w:t>
      </w:r>
    </w:p>
    <w:p w:rsidR="00E9274D" w:rsidRPr="00E0377B" w:rsidRDefault="00E9274D" w:rsidP="00E9274D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lastRenderedPageBreak/>
        <w:t xml:space="preserve">Independentemente de transcrição, farão parte integrante deste instrumento de Ata Registro de Preços o Edital de Licitação - Modalidade Pregão Presencial nº 001/2020, e a proposta final e adjudicada da </w:t>
      </w:r>
      <w:r w:rsidRPr="00E0377B">
        <w:rPr>
          <w:rFonts w:cstheme="minorHAnsi"/>
          <w:b/>
          <w:bCs/>
          <w:sz w:val="23"/>
          <w:szCs w:val="23"/>
        </w:rPr>
        <w:t>CONTRATADA</w:t>
      </w:r>
      <w:r w:rsidRPr="00E0377B">
        <w:rPr>
          <w:rFonts w:cstheme="minorHAnsi"/>
          <w:sz w:val="23"/>
          <w:szCs w:val="23"/>
        </w:rPr>
        <w:t>.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DISPOSIÇÕES FINAIS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9274D" w:rsidRPr="00E0377B" w:rsidRDefault="00E9274D" w:rsidP="00E9274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QUARTA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FORO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E9274D" w:rsidRPr="00E0377B" w:rsidRDefault="00E9274D" w:rsidP="00E9274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Registro de Preços em 02 (duas) vias de igual teor e forma para um só efeito legal, ficando pelo menos uma via arquivada na sede da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>, na forma do art. 60 da Lei 8.666 de 21/06/1993. 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Ribeirão do Pinhal, 02 de março de 2020.</w:t>
      </w:r>
    </w:p>
    <w:p w:rsidR="00E9274D" w:rsidRPr="00E0377B" w:rsidRDefault="00E9274D" w:rsidP="00E9274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="009559E8" w:rsidRPr="009559E8">
        <w:rPr>
          <w:rFonts w:asciiTheme="minorHAnsi" w:hAnsiTheme="minorHAnsi" w:cstheme="minorHAnsi"/>
          <w:sz w:val="22"/>
          <w:szCs w:val="22"/>
        </w:rPr>
        <w:t xml:space="preserve">MARIA </w:t>
      </w:r>
      <w:r w:rsidR="009559E8" w:rsidRPr="009559E8">
        <w:rPr>
          <w:rFonts w:asciiTheme="minorHAnsi" w:hAnsiTheme="minorHAnsi" w:cstheme="minorHAnsi"/>
          <w:sz w:val="22"/>
          <w:szCs w:val="22"/>
        </w:rPr>
        <w:t>EDUARDA GOMES RODOV</w:t>
      </w:r>
      <w:r w:rsidR="009559E8" w:rsidRPr="009559E8">
        <w:rPr>
          <w:rFonts w:asciiTheme="minorHAnsi" w:hAnsiTheme="minorHAnsi" w:cstheme="minorHAnsi"/>
          <w:sz w:val="22"/>
          <w:szCs w:val="22"/>
        </w:rPr>
        <w:t>ALHO</w:t>
      </w: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PREFEITO MUNICIPAL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9559E8" w:rsidRPr="009559E8">
        <w:rPr>
          <w:rFonts w:asciiTheme="minorHAnsi" w:hAnsiTheme="minorHAnsi" w:cstheme="minorHAnsi"/>
          <w:sz w:val="22"/>
          <w:szCs w:val="22"/>
        </w:rPr>
        <w:t>114.507.689-03</w:t>
      </w: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TESTEMUNHAS:</w:t>
      </w: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274D" w:rsidRPr="009559E8" w:rsidTr="00C07EEF">
        <w:tc>
          <w:tcPr>
            <w:tcW w:w="4606" w:type="dxa"/>
          </w:tcPr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74D" w:rsidRPr="009559E8" w:rsidTr="00C07EEF">
        <w:tc>
          <w:tcPr>
            <w:tcW w:w="4606" w:type="dxa"/>
          </w:tcPr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9274D" w:rsidRPr="009559E8" w:rsidRDefault="00E9274D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E9274D" w:rsidRPr="009559E8" w:rsidRDefault="00E9274D" w:rsidP="00E9274D">
      <w:pPr>
        <w:rPr>
          <w:rFonts w:cstheme="minorHAnsi"/>
        </w:rPr>
      </w:pPr>
      <w:r w:rsidRPr="009559E8">
        <w:rPr>
          <w:rFonts w:cstheme="minorHAnsi"/>
        </w:rPr>
        <w:t>OAB N.º 35546 - DPTO JURÍDICO.</w:t>
      </w: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FISCAIS DO CONTRATO:</w:t>
      </w: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9274D" w:rsidRPr="009559E8" w:rsidRDefault="00E9274D" w:rsidP="00E9274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HAMILTON ROSA DE CASTRO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TEREZINHA DE CAMPOS SILVA</w:t>
      </w:r>
    </w:p>
    <w:p w:rsidR="00E9274D" w:rsidRDefault="00E9274D" w:rsidP="009559E8">
      <w:pPr>
        <w:pStyle w:val="SemEspaamento"/>
      </w:pPr>
      <w:r w:rsidRPr="009559E8">
        <w:rPr>
          <w:rFonts w:asciiTheme="minorHAnsi" w:hAnsiTheme="minorHAnsi" w:cstheme="minorHAnsi"/>
          <w:sz w:val="22"/>
          <w:szCs w:val="22"/>
        </w:rPr>
        <w:t xml:space="preserve">NUTRICIONISTA – CRN8-752 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CPF: 436.323.009-68</w:t>
      </w:r>
    </w:p>
    <w:bookmarkEnd w:id="0"/>
    <w:p w:rsidR="00D84869" w:rsidRDefault="00D84869"/>
    <w:sectPr w:rsidR="00D84869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9559E8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9559E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434A9" w:rsidRPr="008B5900" w:rsidRDefault="009559E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9559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D9ABA8C" wp14:editId="73F366F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9559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9559E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68"/>
    <w:rsid w:val="009559E8"/>
    <w:rsid w:val="00C26A68"/>
    <w:rsid w:val="00D84869"/>
    <w:rsid w:val="00E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4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7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7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7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7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274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927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9274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9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27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74D"/>
    <w:rPr>
      <w:b/>
      <w:bCs/>
    </w:rPr>
  </w:style>
  <w:style w:type="paragraph" w:styleId="NormalWeb">
    <w:name w:val="Normal (Web)"/>
    <w:basedOn w:val="Normal"/>
    <w:uiPriority w:val="99"/>
    <w:rsid w:val="00E9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4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7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7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7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7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274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927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9274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9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27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274D"/>
    <w:rPr>
      <w:b/>
      <w:bCs/>
    </w:rPr>
  </w:style>
  <w:style w:type="paragraph" w:styleId="NormalWeb">
    <w:name w:val="Normal (Web)"/>
    <w:basedOn w:val="Normal"/>
    <w:uiPriority w:val="99"/>
    <w:rsid w:val="00E9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arlos-rossato@uo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2053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2020-03-02T17:03:00Z</cp:lastPrinted>
  <dcterms:created xsi:type="dcterms:W3CDTF">2020-03-02T16:45:00Z</dcterms:created>
  <dcterms:modified xsi:type="dcterms:W3CDTF">2020-03-02T17:04:00Z</dcterms:modified>
</cp:coreProperties>
</file>