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3B" w:rsidRPr="00A64C66" w:rsidRDefault="0095203B" w:rsidP="0095203B">
      <w:pPr>
        <w:pStyle w:val="Ttulo"/>
        <w:rPr>
          <w:rFonts w:asciiTheme="minorHAnsi" w:hAnsiTheme="minorHAnsi" w:cstheme="minorHAnsi"/>
          <w:sz w:val="22"/>
          <w:szCs w:val="22"/>
        </w:rPr>
      </w:pPr>
      <w:bookmarkStart w:id="0" w:name="_GoBack"/>
      <w:r w:rsidRPr="00A64C66">
        <w:rPr>
          <w:rFonts w:asciiTheme="minorHAnsi" w:hAnsiTheme="minorHAnsi" w:cstheme="minorHAnsi"/>
          <w:bCs/>
          <w:color w:val="000000"/>
          <w:sz w:val="22"/>
          <w:szCs w:val="22"/>
          <w:u w:val="single"/>
        </w:rPr>
        <w:t>PREGÃO PRESENCIAL N.º 12</w:t>
      </w:r>
      <w:r w:rsidRPr="00A64C66">
        <w:rPr>
          <w:rFonts w:asciiTheme="minorHAnsi" w:hAnsiTheme="minorHAnsi" w:cstheme="minorHAnsi"/>
          <w:bCs/>
          <w:color w:val="000000"/>
          <w:sz w:val="22"/>
          <w:szCs w:val="22"/>
          <w:u w:val="single"/>
        </w:rPr>
        <w:t>5</w:t>
      </w:r>
      <w:r w:rsidRPr="00A64C66">
        <w:rPr>
          <w:rFonts w:asciiTheme="minorHAnsi" w:hAnsiTheme="minorHAnsi" w:cstheme="minorHAnsi"/>
          <w:bCs/>
          <w:color w:val="000000"/>
          <w:sz w:val="22"/>
          <w:szCs w:val="22"/>
          <w:u w:val="single"/>
        </w:rPr>
        <w:t>/2019 - ATA REGISTRO DE PREÇOS N.º 05</w:t>
      </w:r>
      <w:r w:rsidRPr="00A64C66">
        <w:rPr>
          <w:rFonts w:asciiTheme="minorHAnsi" w:hAnsiTheme="minorHAnsi" w:cstheme="minorHAnsi"/>
          <w:bCs/>
          <w:color w:val="000000"/>
          <w:sz w:val="22"/>
          <w:szCs w:val="22"/>
          <w:u w:val="single"/>
        </w:rPr>
        <w:t>1</w:t>
      </w:r>
      <w:r w:rsidRPr="00A64C66">
        <w:rPr>
          <w:rFonts w:asciiTheme="minorHAnsi" w:hAnsiTheme="minorHAnsi" w:cstheme="minorHAnsi"/>
          <w:bCs/>
          <w:color w:val="000000"/>
          <w:sz w:val="22"/>
          <w:szCs w:val="22"/>
          <w:u w:val="single"/>
        </w:rPr>
        <w:t>/2019.</w:t>
      </w:r>
    </w:p>
    <w:p w:rsidR="0095203B" w:rsidRPr="00A64C66" w:rsidRDefault="0095203B" w:rsidP="0095203B">
      <w:pPr>
        <w:pStyle w:val="NormalWeb"/>
        <w:jc w:val="both"/>
        <w:rPr>
          <w:rFonts w:asciiTheme="minorHAnsi" w:hAnsiTheme="minorHAnsi" w:cstheme="minorHAnsi"/>
          <w:sz w:val="22"/>
          <w:szCs w:val="22"/>
        </w:rPr>
      </w:pPr>
      <w:r w:rsidRPr="00A64C66">
        <w:rPr>
          <w:rFonts w:asciiTheme="minorHAnsi" w:hAnsiTheme="minorHAnsi" w:cstheme="minorHAnsi"/>
          <w:sz w:val="22"/>
          <w:szCs w:val="22"/>
        </w:rPr>
        <w:t xml:space="preserve">Aos </w:t>
      </w:r>
      <w:r w:rsidRPr="00A64C66">
        <w:rPr>
          <w:rFonts w:asciiTheme="minorHAnsi" w:hAnsiTheme="minorHAnsi" w:cstheme="minorHAnsi"/>
          <w:sz w:val="22"/>
          <w:szCs w:val="22"/>
        </w:rPr>
        <w:t>oito</w:t>
      </w:r>
      <w:r w:rsidRPr="00A64C66">
        <w:rPr>
          <w:rFonts w:asciiTheme="minorHAnsi" w:hAnsiTheme="minorHAnsi" w:cstheme="minorHAnsi"/>
          <w:sz w:val="22"/>
          <w:szCs w:val="22"/>
        </w:rPr>
        <w:t xml:space="preserve"> dias do mês de novembro de 2019 (0</w:t>
      </w:r>
      <w:r w:rsidRPr="00A64C66">
        <w:rPr>
          <w:rFonts w:asciiTheme="minorHAnsi" w:hAnsiTheme="minorHAnsi" w:cstheme="minorHAnsi"/>
          <w:sz w:val="22"/>
          <w:szCs w:val="22"/>
        </w:rPr>
        <w:t>8</w:t>
      </w:r>
      <w:r w:rsidRPr="00A64C66">
        <w:rPr>
          <w:rFonts w:asciiTheme="minorHAnsi" w:hAnsiTheme="minorHAnsi" w:cstheme="minorHAnsi"/>
          <w:sz w:val="22"/>
          <w:szCs w:val="22"/>
        </w:rPr>
        <w:t xml:space="preserve">/11/2019) Município de Ribeirão do Pinhal – Estado do Paraná, por meio do Fundo Municipal </w:t>
      </w:r>
      <w:r w:rsidRPr="00A64C66">
        <w:rPr>
          <w:rFonts w:asciiTheme="minorHAnsi" w:hAnsiTheme="minorHAnsi" w:cstheme="minorHAnsi"/>
          <w:sz w:val="22"/>
          <w:szCs w:val="22"/>
        </w:rPr>
        <w:br/>
        <w:t xml:space="preserve">de Saúde de Ribeirão do Pinhal – Estado do Paraná, CNPJ n.º </w:t>
      </w:r>
      <w:r w:rsidRPr="00A64C66">
        <w:rPr>
          <w:rFonts w:asciiTheme="minorHAnsi" w:hAnsiTheme="minorHAnsi" w:cstheme="minorHAnsi"/>
          <w:b/>
          <w:sz w:val="22"/>
          <w:szCs w:val="22"/>
        </w:rPr>
        <w:t>09.654.201/0001-87</w:t>
      </w:r>
      <w:r w:rsidRPr="00A64C66">
        <w:rPr>
          <w:rFonts w:asciiTheme="minorHAnsi" w:hAnsiTheme="minorHAnsi" w:cstheme="minorHAnsi"/>
          <w:sz w:val="22"/>
          <w:szCs w:val="22"/>
        </w:rPr>
        <w:t xml:space="preserve">, com sede a Rua Paraná n.º 940 – Centro, neste ato representado pelo Prefeito Municipal, o Senhor </w:t>
      </w:r>
      <w:r w:rsidRPr="00A64C66">
        <w:rPr>
          <w:rFonts w:asciiTheme="minorHAnsi" w:hAnsiTheme="minorHAnsi" w:cstheme="minorHAnsi"/>
          <w:b/>
          <w:sz w:val="22"/>
          <w:szCs w:val="22"/>
          <w:u w:val="single"/>
        </w:rPr>
        <w:t>WAGNER LUIZ DE OLIVEIRA MARTINS</w:t>
      </w:r>
      <w:r w:rsidRPr="00A64C66">
        <w:rPr>
          <w:rFonts w:asciiTheme="minorHAnsi" w:hAnsiTheme="minorHAnsi" w:cstheme="minorHAnsi"/>
          <w:sz w:val="22"/>
          <w:szCs w:val="22"/>
        </w:rPr>
        <w:t>, portador do RG 10733456-2 SSP/PR, inscrito sob CPF/MF n.º 052.206.749-</w:t>
      </w:r>
      <w:proofErr w:type="gramStart"/>
      <w:r w:rsidRPr="00A64C66">
        <w:rPr>
          <w:rFonts w:asciiTheme="minorHAnsi" w:hAnsiTheme="minorHAnsi" w:cstheme="minorHAnsi"/>
          <w:sz w:val="22"/>
          <w:szCs w:val="22"/>
        </w:rPr>
        <w:t>27,</w:t>
      </w:r>
      <w:proofErr w:type="gramEnd"/>
      <w:r w:rsidRPr="00A64C66">
        <w:rPr>
          <w:rFonts w:asciiTheme="minorHAnsi" w:hAnsiTheme="minorHAnsi" w:cstheme="minorHAnsi"/>
          <w:sz w:val="22"/>
          <w:szCs w:val="22"/>
        </w:rPr>
        <w:t>brasileiro</w:t>
      </w:r>
      <w:r w:rsidRPr="00A64C66">
        <w:rPr>
          <w:rFonts w:asciiTheme="minorHAnsi" w:hAnsiTheme="minorHAnsi" w:cstheme="minorHAnsi"/>
          <w:b/>
          <w:sz w:val="22"/>
          <w:szCs w:val="22"/>
        </w:rPr>
        <w:t xml:space="preserve">, </w:t>
      </w:r>
      <w:r w:rsidRPr="00A64C66">
        <w:rPr>
          <w:rFonts w:asciiTheme="minorHAnsi" w:hAnsiTheme="minorHAnsi" w:cstheme="minorHAnsi"/>
          <w:sz w:val="22"/>
          <w:szCs w:val="22"/>
        </w:rPr>
        <w:t xml:space="preserve">casado, neste ato simplesmente denominado </w:t>
      </w:r>
      <w:r w:rsidRPr="00A64C66">
        <w:rPr>
          <w:rFonts w:asciiTheme="minorHAnsi" w:hAnsiTheme="minorHAnsi" w:cstheme="minorHAnsi"/>
          <w:b/>
          <w:bCs/>
          <w:sz w:val="22"/>
          <w:szCs w:val="22"/>
        </w:rPr>
        <w:t>CONTRATANTE</w:t>
      </w:r>
      <w:r w:rsidRPr="00A64C66">
        <w:rPr>
          <w:rFonts w:asciiTheme="minorHAnsi" w:hAnsiTheme="minorHAnsi" w:cstheme="minorHAnsi"/>
          <w:sz w:val="22"/>
          <w:szCs w:val="22"/>
        </w:rPr>
        <w:t xml:space="preserve">, e a Empresa M. </w:t>
      </w:r>
      <w:r w:rsidRPr="00A64C66">
        <w:rPr>
          <w:rFonts w:asciiTheme="minorHAnsi" w:hAnsiTheme="minorHAnsi" w:cstheme="minorHAnsi"/>
          <w:b/>
          <w:sz w:val="22"/>
          <w:szCs w:val="22"/>
        </w:rPr>
        <w:t>CARREGA COMÉRCIO DE PRODUTOS HOSPITALARES LTDA, Fone (43)33</w:t>
      </w:r>
      <w:r w:rsidRPr="00A64C66">
        <w:rPr>
          <w:rFonts w:asciiTheme="minorHAnsi" w:hAnsiTheme="minorHAnsi" w:cstheme="minorHAnsi"/>
          <w:b/>
          <w:sz w:val="22"/>
          <w:szCs w:val="22"/>
        </w:rPr>
        <w:t>39-1320</w:t>
      </w:r>
      <w:r w:rsidRPr="00A64C66">
        <w:rPr>
          <w:rFonts w:asciiTheme="minorHAnsi" w:hAnsiTheme="minorHAnsi" w:cstheme="minorHAnsi"/>
          <w:b/>
          <w:sz w:val="22"/>
          <w:szCs w:val="22"/>
        </w:rPr>
        <w:t xml:space="preserve"> - e-mail: </w:t>
      </w:r>
      <w:r w:rsidRPr="00A64C66">
        <w:rPr>
          <w:rFonts w:asciiTheme="minorHAnsi" w:hAnsiTheme="minorHAnsi" w:cstheme="minorHAnsi"/>
          <w:b/>
          <w:sz w:val="22"/>
          <w:szCs w:val="22"/>
        </w:rPr>
        <w:t>londrimedhospitalar</w:t>
      </w:r>
      <w:r w:rsidRPr="00A64C66">
        <w:rPr>
          <w:rFonts w:asciiTheme="minorHAnsi" w:hAnsiTheme="minorHAnsi" w:cstheme="minorHAnsi"/>
          <w:b/>
          <w:sz w:val="22"/>
          <w:szCs w:val="22"/>
        </w:rPr>
        <w:t>@</w:t>
      </w:r>
      <w:r w:rsidRPr="00A64C66">
        <w:rPr>
          <w:rFonts w:asciiTheme="minorHAnsi" w:hAnsiTheme="minorHAnsi" w:cstheme="minorHAnsi"/>
          <w:b/>
          <w:sz w:val="22"/>
          <w:szCs w:val="22"/>
        </w:rPr>
        <w:t>gmail</w:t>
      </w:r>
      <w:r w:rsidRPr="00A64C66">
        <w:rPr>
          <w:rFonts w:asciiTheme="minorHAnsi" w:hAnsiTheme="minorHAnsi" w:cstheme="minorHAnsi"/>
          <w:b/>
          <w:sz w:val="22"/>
          <w:szCs w:val="22"/>
        </w:rPr>
        <w:t>.com</w:t>
      </w:r>
      <w:r w:rsidRPr="00A64C66">
        <w:rPr>
          <w:rFonts w:asciiTheme="minorHAnsi" w:hAnsiTheme="minorHAnsi" w:cstheme="minorHAnsi"/>
          <w:sz w:val="22"/>
          <w:szCs w:val="22"/>
        </w:rPr>
        <w:t xml:space="preserve">, com sede na Avenida </w:t>
      </w:r>
      <w:r w:rsidRPr="00A64C66">
        <w:rPr>
          <w:rFonts w:asciiTheme="minorHAnsi" w:hAnsiTheme="minorHAnsi" w:cstheme="minorHAnsi"/>
          <w:sz w:val="22"/>
          <w:szCs w:val="22"/>
        </w:rPr>
        <w:t xml:space="preserve">Henrique </w:t>
      </w:r>
      <w:proofErr w:type="spellStart"/>
      <w:r w:rsidRPr="00A64C66">
        <w:rPr>
          <w:rFonts w:asciiTheme="minorHAnsi" w:hAnsiTheme="minorHAnsi" w:cstheme="minorHAnsi"/>
          <w:sz w:val="22"/>
          <w:szCs w:val="22"/>
        </w:rPr>
        <w:t>Mansano</w:t>
      </w:r>
      <w:proofErr w:type="spellEnd"/>
      <w:r w:rsidRPr="00A64C66">
        <w:rPr>
          <w:rFonts w:asciiTheme="minorHAnsi" w:hAnsiTheme="minorHAnsi" w:cstheme="minorHAnsi"/>
          <w:sz w:val="22"/>
          <w:szCs w:val="22"/>
        </w:rPr>
        <w:t xml:space="preserve"> - </w:t>
      </w:r>
      <w:r w:rsidRPr="00A64C66">
        <w:rPr>
          <w:rFonts w:asciiTheme="minorHAnsi" w:hAnsiTheme="minorHAnsi" w:cstheme="minorHAnsi"/>
          <w:sz w:val="22"/>
          <w:szCs w:val="22"/>
        </w:rPr>
        <w:t>1595</w:t>
      </w:r>
      <w:r w:rsidRPr="00A64C66">
        <w:rPr>
          <w:rFonts w:asciiTheme="minorHAnsi" w:hAnsiTheme="minorHAnsi" w:cstheme="minorHAnsi"/>
          <w:sz w:val="22"/>
          <w:szCs w:val="22"/>
        </w:rPr>
        <w:t xml:space="preserve"> </w:t>
      </w:r>
      <w:r w:rsidRPr="00A64C66">
        <w:rPr>
          <w:rFonts w:asciiTheme="minorHAnsi" w:hAnsiTheme="minorHAnsi" w:cstheme="minorHAnsi"/>
          <w:sz w:val="22"/>
          <w:szCs w:val="22"/>
        </w:rPr>
        <w:t>–</w:t>
      </w:r>
      <w:r w:rsidRPr="00A64C66">
        <w:rPr>
          <w:rFonts w:asciiTheme="minorHAnsi" w:hAnsiTheme="minorHAnsi" w:cstheme="minorHAnsi"/>
          <w:sz w:val="22"/>
          <w:szCs w:val="22"/>
        </w:rPr>
        <w:t xml:space="preserve"> </w:t>
      </w:r>
      <w:r w:rsidRPr="00A64C66">
        <w:rPr>
          <w:rFonts w:asciiTheme="minorHAnsi" w:hAnsiTheme="minorHAnsi" w:cstheme="minorHAnsi"/>
          <w:sz w:val="22"/>
          <w:szCs w:val="22"/>
        </w:rPr>
        <w:t>Jardim Alpes</w:t>
      </w:r>
      <w:r w:rsidRPr="00A64C66">
        <w:rPr>
          <w:rFonts w:asciiTheme="minorHAnsi" w:hAnsiTheme="minorHAnsi" w:cstheme="minorHAnsi"/>
          <w:sz w:val="22"/>
          <w:szCs w:val="22"/>
        </w:rPr>
        <w:t xml:space="preserve"> - CEP: </w:t>
      </w:r>
      <w:r w:rsidRPr="00A64C66">
        <w:rPr>
          <w:rFonts w:asciiTheme="minorHAnsi" w:hAnsiTheme="minorHAnsi" w:cstheme="minorHAnsi"/>
          <w:sz w:val="22"/>
          <w:szCs w:val="22"/>
        </w:rPr>
        <w:t>86.075-000</w:t>
      </w:r>
      <w:r w:rsidRPr="00A64C66">
        <w:rPr>
          <w:rFonts w:asciiTheme="minorHAnsi" w:hAnsiTheme="minorHAnsi" w:cstheme="minorHAnsi"/>
          <w:sz w:val="22"/>
          <w:szCs w:val="22"/>
        </w:rPr>
        <w:t xml:space="preserve"> - na cidade de Londrina – Paraná, inscrito no CNPJ sob nº. 32.593.430/0001-50, neste ato representado pelo Senhor </w:t>
      </w:r>
      <w:r w:rsidRPr="00A64C66">
        <w:rPr>
          <w:rFonts w:asciiTheme="minorHAnsi" w:hAnsiTheme="minorHAnsi" w:cstheme="minorHAnsi"/>
          <w:b/>
          <w:sz w:val="22"/>
          <w:szCs w:val="22"/>
        </w:rPr>
        <w:t>JOSÉ MÁRCIO CARREGA</w:t>
      </w:r>
      <w:r w:rsidRPr="00A64C66">
        <w:rPr>
          <w:rFonts w:asciiTheme="minorHAnsi" w:hAnsiTheme="minorHAnsi" w:cstheme="minorHAnsi"/>
          <w:sz w:val="22"/>
          <w:szCs w:val="22"/>
        </w:rPr>
        <w:t xml:space="preserve">, brasileiro, </w:t>
      </w:r>
      <w:r w:rsidRPr="00A64C66">
        <w:rPr>
          <w:rFonts w:asciiTheme="minorHAnsi" w:hAnsiTheme="minorHAnsi" w:cstheme="minorHAnsi"/>
          <w:sz w:val="22"/>
          <w:szCs w:val="22"/>
        </w:rPr>
        <w:t>casado</w:t>
      </w:r>
      <w:r w:rsidRPr="00A64C66">
        <w:rPr>
          <w:rFonts w:asciiTheme="minorHAnsi" w:hAnsiTheme="minorHAnsi" w:cstheme="minorHAnsi"/>
          <w:sz w:val="22"/>
          <w:szCs w:val="22"/>
        </w:rPr>
        <w:t xml:space="preserve">, empresário, residente e domiciliado a Rua </w:t>
      </w:r>
      <w:r w:rsidRPr="00A64C66">
        <w:rPr>
          <w:rFonts w:asciiTheme="minorHAnsi" w:hAnsiTheme="minorHAnsi" w:cstheme="minorHAnsi"/>
          <w:sz w:val="22"/>
          <w:szCs w:val="22"/>
        </w:rPr>
        <w:t>Fernando de Noronha</w:t>
      </w:r>
      <w:r w:rsidRPr="00A64C66">
        <w:rPr>
          <w:rFonts w:asciiTheme="minorHAnsi" w:hAnsiTheme="minorHAnsi" w:cstheme="minorHAnsi"/>
          <w:sz w:val="22"/>
          <w:szCs w:val="22"/>
        </w:rPr>
        <w:t xml:space="preserve"> - </w:t>
      </w:r>
      <w:r w:rsidRPr="00A64C66">
        <w:rPr>
          <w:rFonts w:asciiTheme="minorHAnsi" w:hAnsiTheme="minorHAnsi" w:cstheme="minorHAnsi"/>
          <w:sz w:val="22"/>
          <w:szCs w:val="22"/>
        </w:rPr>
        <w:t>609</w:t>
      </w:r>
      <w:r w:rsidRPr="00A64C66">
        <w:rPr>
          <w:rFonts w:asciiTheme="minorHAnsi" w:hAnsiTheme="minorHAnsi" w:cstheme="minorHAnsi"/>
          <w:sz w:val="22"/>
          <w:szCs w:val="22"/>
        </w:rPr>
        <w:t xml:space="preserve"> </w:t>
      </w:r>
      <w:r w:rsidRPr="00A64C66">
        <w:rPr>
          <w:rFonts w:asciiTheme="minorHAnsi" w:hAnsiTheme="minorHAnsi" w:cstheme="minorHAnsi"/>
          <w:sz w:val="22"/>
          <w:szCs w:val="22"/>
        </w:rPr>
        <w:t>–</w:t>
      </w:r>
      <w:r w:rsidRPr="00A64C66">
        <w:rPr>
          <w:rFonts w:asciiTheme="minorHAnsi" w:hAnsiTheme="minorHAnsi" w:cstheme="minorHAnsi"/>
          <w:sz w:val="22"/>
          <w:szCs w:val="22"/>
        </w:rPr>
        <w:t xml:space="preserve"> </w:t>
      </w:r>
      <w:r w:rsidRPr="00A64C66">
        <w:rPr>
          <w:rFonts w:asciiTheme="minorHAnsi" w:hAnsiTheme="minorHAnsi" w:cstheme="minorHAnsi"/>
          <w:sz w:val="22"/>
          <w:szCs w:val="22"/>
        </w:rPr>
        <w:t>Apto 1104 - Centro</w:t>
      </w:r>
      <w:r w:rsidRPr="00A64C66">
        <w:rPr>
          <w:rFonts w:asciiTheme="minorHAnsi" w:hAnsiTheme="minorHAnsi" w:cstheme="minorHAnsi"/>
          <w:sz w:val="22"/>
          <w:szCs w:val="22"/>
        </w:rPr>
        <w:t xml:space="preserve"> - CEP: </w:t>
      </w:r>
      <w:r w:rsidRPr="00A64C66">
        <w:rPr>
          <w:rFonts w:asciiTheme="minorHAnsi" w:hAnsiTheme="minorHAnsi" w:cstheme="minorHAnsi"/>
          <w:sz w:val="22"/>
          <w:szCs w:val="22"/>
        </w:rPr>
        <w:t>86.020-300</w:t>
      </w:r>
      <w:r w:rsidRPr="00A64C66">
        <w:rPr>
          <w:rFonts w:asciiTheme="minorHAnsi" w:hAnsiTheme="minorHAnsi" w:cstheme="minorHAnsi"/>
          <w:sz w:val="22"/>
          <w:szCs w:val="22"/>
        </w:rPr>
        <w:t xml:space="preserve">, na cidade de Londrina – Paraná, portador de Cédula de Identidade n.º </w:t>
      </w:r>
      <w:r w:rsidRPr="00A64C66">
        <w:rPr>
          <w:rFonts w:asciiTheme="minorHAnsi" w:hAnsiTheme="minorHAnsi" w:cstheme="minorHAnsi"/>
          <w:sz w:val="22"/>
          <w:szCs w:val="22"/>
        </w:rPr>
        <w:t>14727572</w:t>
      </w:r>
      <w:r w:rsidRPr="00A64C66">
        <w:rPr>
          <w:rFonts w:asciiTheme="minorHAnsi" w:hAnsiTheme="minorHAnsi" w:cstheme="minorHAnsi"/>
          <w:sz w:val="22"/>
          <w:szCs w:val="22"/>
        </w:rPr>
        <w:t xml:space="preserve"> SESP/PR e inscrito sob CPF/MF n.º </w:t>
      </w:r>
      <w:r w:rsidRPr="00A64C66">
        <w:rPr>
          <w:rFonts w:asciiTheme="minorHAnsi" w:hAnsiTheme="minorHAnsi" w:cstheme="minorHAnsi"/>
          <w:sz w:val="22"/>
          <w:szCs w:val="22"/>
        </w:rPr>
        <w:t>109.523.298-32</w:t>
      </w:r>
      <w:r w:rsidRPr="00A64C66">
        <w:rPr>
          <w:rFonts w:asciiTheme="minorHAnsi" w:hAnsiTheme="minorHAnsi" w:cstheme="minorHAnsi"/>
          <w:sz w:val="22"/>
          <w:szCs w:val="22"/>
        </w:rPr>
        <w:t xml:space="preserve">, neste ato simplesmente denominado </w:t>
      </w:r>
      <w:r w:rsidRPr="00A64C66">
        <w:rPr>
          <w:rFonts w:asciiTheme="minorHAnsi" w:hAnsiTheme="minorHAnsi" w:cstheme="minorHAnsi"/>
          <w:b/>
          <w:sz w:val="22"/>
          <w:szCs w:val="22"/>
          <w:u w:val="single"/>
        </w:rPr>
        <w:t>CONTRATADO</w:t>
      </w:r>
      <w:r w:rsidRPr="00A64C66">
        <w:rPr>
          <w:rFonts w:asciiTheme="minorHAnsi" w:hAnsiTheme="minorHAnsi" w:cstheme="minorHAnsi"/>
          <w:sz w:val="22"/>
          <w:szCs w:val="22"/>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95203B" w:rsidRPr="00A64C66" w:rsidRDefault="0095203B" w:rsidP="0095203B">
      <w:pPr>
        <w:pStyle w:val="NormalWeb"/>
        <w:rPr>
          <w:rFonts w:asciiTheme="minorHAnsi" w:hAnsiTheme="minorHAnsi" w:cstheme="minorHAnsi"/>
          <w:sz w:val="22"/>
          <w:szCs w:val="22"/>
        </w:rPr>
      </w:pPr>
      <w:r w:rsidRPr="00A64C66">
        <w:rPr>
          <w:rFonts w:asciiTheme="minorHAnsi" w:hAnsiTheme="minorHAnsi" w:cstheme="minorHAnsi"/>
          <w:b/>
          <w:bCs/>
          <w:sz w:val="22"/>
          <w:szCs w:val="22"/>
          <w:u w:val="single"/>
        </w:rPr>
        <w:t>CLÁUSULA PRIMEIRA</w:t>
      </w:r>
      <w:r w:rsidRPr="00A64C66">
        <w:rPr>
          <w:rFonts w:asciiTheme="minorHAnsi" w:hAnsiTheme="minorHAnsi" w:cstheme="minorHAnsi"/>
          <w:b/>
          <w:bCs/>
          <w:sz w:val="22"/>
          <w:szCs w:val="22"/>
        </w:rPr>
        <w:t xml:space="preserve"> - DO OBJETO</w:t>
      </w:r>
    </w:p>
    <w:p w:rsidR="0095203B" w:rsidRPr="00A64C66" w:rsidRDefault="0095203B" w:rsidP="0095203B">
      <w:pPr>
        <w:pStyle w:val="SemEspaamento"/>
        <w:jc w:val="both"/>
        <w:rPr>
          <w:rFonts w:asciiTheme="minorHAnsi" w:hAnsiTheme="minorHAnsi" w:cstheme="minorHAnsi"/>
          <w:sz w:val="22"/>
          <w:szCs w:val="22"/>
        </w:rPr>
      </w:pPr>
      <w:proofErr w:type="gramStart"/>
      <w:r w:rsidRPr="00A64C66">
        <w:rPr>
          <w:rFonts w:asciiTheme="minorHAnsi" w:hAnsiTheme="minorHAnsi" w:cstheme="minorHAnsi"/>
          <w:sz w:val="22"/>
          <w:szCs w:val="22"/>
        </w:rPr>
        <w:t>A presente</w:t>
      </w:r>
      <w:proofErr w:type="gramEnd"/>
      <w:r w:rsidRPr="00A64C66">
        <w:rPr>
          <w:rFonts w:asciiTheme="minorHAnsi" w:hAnsiTheme="minorHAnsi" w:cstheme="minorHAnsi"/>
          <w:sz w:val="22"/>
          <w:szCs w:val="22"/>
        </w:rPr>
        <w:t xml:space="preserve"> Ata tem por objeto o registro de preços para possível aquisição de materiais e equipamentos médicos e hospitalares conforme solicitação da Secretaria Municipal de Saúde</w:t>
      </w:r>
      <w:r w:rsidRPr="00A64C66">
        <w:rPr>
          <w:rFonts w:asciiTheme="minorHAnsi" w:hAnsiTheme="minorHAnsi" w:cstheme="minorHAnsi"/>
          <w:sz w:val="22"/>
          <w:szCs w:val="22"/>
        </w:rPr>
        <w:t xml:space="preserve"> </w:t>
      </w:r>
      <w:r w:rsidRPr="00A64C66">
        <w:rPr>
          <w:rFonts w:asciiTheme="minorHAnsi" w:hAnsiTheme="minorHAnsi" w:cstheme="minorHAnsi"/>
          <w:sz w:val="22"/>
          <w:szCs w:val="22"/>
        </w:rPr>
        <w:t xml:space="preserve">dos itens constantes nesse instrumento, conforme consta na proposta anexada ao Processo Licitatório Modalidade Pregão Presencial, registrado sob n.º </w:t>
      </w:r>
      <w:r w:rsidRPr="00A64C66">
        <w:rPr>
          <w:rFonts w:asciiTheme="minorHAnsi" w:hAnsiTheme="minorHAnsi" w:cstheme="minorHAnsi"/>
          <w:b/>
          <w:sz w:val="22"/>
          <w:szCs w:val="22"/>
        </w:rPr>
        <w:t>05</w:t>
      </w:r>
      <w:r w:rsidRPr="00A64C66">
        <w:rPr>
          <w:rFonts w:asciiTheme="minorHAnsi" w:hAnsiTheme="minorHAnsi" w:cstheme="minorHAnsi"/>
          <w:b/>
          <w:sz w:val="22"/>
          <w:szCs w:val="22"/>
        </w:rPr>
        <w:t>1</w:t>
      </w:r>
      <w:r w:rsidRPr="00A64C66">
        <w:rPr>
          <w:rFonts w:asciiTheme="minorHAnsi" w:hAnsiTheme="minorHAnsi" w:cstheme="minorHAnsi"/>
          <w:b/>
          <w:sz w:val="22"/>
          <w:szCs w:val="22"/>
        </w:rPr>
        <w:t>/2019</w:t>
      </w:r>
      <w:r w:rsidRPr="00A64C66">
        <w:rPr>
          <w:rFonts w:asciiTheme="minorHAnsi" w:hAnsiTheme="minorHAnsi" w:cstheme="minorHAnsi"/>
          <w:sz w:val="22"/>
          <w:szCs w:val="22"/>
        </w:rPr>
        <w:t>, a qual fará parte integrante deste instrumento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A empresa acima qualificada obriga-se a fornecer à Prefeitura Municipal de Ribeirão do Pinhal (PR), de acordo com as solicitações feitas pela CONTRATANTE, os itens relacionados na cláusula terceira.</w:t>
      </w: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rPr>
          <w:rFonts w:cstheme="minorHAnsi"/>
          <w:b/>
        </w:rPr>
      </w:pPr>
      <w:r w:rsidRPr="00A64C66">
        <w:rPr>
          <w:rFonts w:cstheme="minorHAnsi"/>
          <w:b/>
          <w:u w:val="single"/>
        </w:rPr>
        <w:t>CLÁUSULA SEGUNDA</w:t>
      </w:r>
      <w:r w:rsidRPr="00A64C66">
        <w:rPr>
          <w:rFonts w:cstheme="minorHAnsi"/>
          <w:b/>
        </w:rPr>
        <w:t xml:space="preserve"> – DA VIGÊNCIA, PRAZO E CONDIÇÕES DE </w:t>
      </w:r>
      <w:proofErr w:type="gramStart"/>
      <w:r w:rsidRPr="00A64C66">
        <w:rPr>
          <w:rFonts w:cstheme="minorHAnsi"/>
          <w:b/>
        </w:rPr>
        <w:t>ENTREGA</w:t>
      </w:r>
      <w:proofErr w:type="gramEnd"/>
      <w:r w:rsidRPr="00A64C66">
        <w:rPr>
          <w:rFonts w:cstheme="minorHAnsi"/>
          <w:b/>
        </w:rPr>
        <w:t>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01. </w:t>
      </w:r>
      <w:proofErr w:type="gramStart"/>
      <w:r w:rsidRPr="00A64C66">
        <w:rPr>
          <w:rFonts w:asciiTheme="minorHAnsi" w:hAnsiTheme="minorHAnsi" w:cstheme="minorHAnsi"/>
          <w:sz w:val="22"/>
          <w:szCs w:val="22"/>
        </w:rPr>
        <w:t>A presente</w:t>
      </w:r>
      <w:proofErr w:type="gramEnd"/>
      <w:r w:rsidRPr="00A64C66">
        <w:rPr>
          <w:rFonts w:asciiTheme="minorHAnsi" w:hAnsiTheme="minorHAnsi" w:cstheme="minorHAnsi"/>
          <w:sz w:val="22"/>
          <w:szCs w:val="22"/>
        </w:rPr>
        <w:t xml:space="preserve"> Ata de Registro de Preços terá a vigência por 12 (doze) meses, encerrando-se no dia </w:t>
      </w:r>
      <w:r w:rsidRPr="00A64C66">
        <w:rPr>
          <w:rFonts w:asciiTheme="minorHAnsi" w:hAnsiTheme="minorHAnsi" w:cstheme="minorHAnsi"/>
          <w:b/>
          <w:sz w:val="22"/>
          <w:szCs w:val="22"/>
        </w:rPr>
        <w:t>0</w:t>
      </w:r>
      <w:r w:rsidR="004C0A30" w:rsidRPr="00A64C66">
        <w:rPr>
          <w:rFonts w:asciiTheme="minorHAnsi" w:hAnsiTheme="minorHAnsi" w:cstheme="minorHAnsi"/>
          <w:b/>
          <w:sz w:val="22"/>
          <w:szCs w:val="22"/>
        </w:rPr>
        <w:t>6</w:t>
      </w:r>
      <w:r w:rsidRPr="00A64C66">
        <w:rPr>
          <w:rFonts w:asciiTheme="minorHAnsi" w:hAnsiTheme="minorHAnsi" w:cstheme="minorHAnsi"/>
          <w:b/>
          <w:sz w:val="22"/>
          <w:szCs w:val="22"/>
        </w:rPr>
        <w:t>/11/2020</w:t>
      </w:r>
      <w:r w:rsidRPr="00A64C66">
        <w:rPr>
          <w:rFonts w:asciiTheme="minorHAnsi" w:hAnsiTheme="minorHAnsi" w:cstheme="minorHAnsi"/>
          <w:sz w:val="22"/>
          <w:szCs w:val="22"/>
        </w:rPr>
        <w:t xml:space="preserve"> nos termos do Artigo 57 da Lei Federal nº 8.666/93 e Decreto Federal nº 7.892/13, Art. 12º, caput, e seus parágrafos, podendo ser prorrogado por igual período, ou até final do saldo estipulado, dependendo do interesse da Administração Pública Municipal.</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03. O Município não está obrigado a adquirir uma quantidade mínima do produto, ficando </w:t>
      </w:r>
      <w:proofErr w:type="gramStart"/>
      <w:r w:rsidRPr="00A64C66">
        <w:rPr>
          <w:rFonts w:asciiTheme="minorHAnsi" w:hAnsiTheme="minorHAnsi" w:cstheme="minorHAnsi"/>
          <w:sz w:val="22"/>
          <w:szCs w:val="22"/>
        </w:rPr>
        <w:t>a seu</w:t>
      </w:r>
      <w:proofErr w:type="gramEnd"/>
      <w:r w:rsidRPr="00A64C66">
        <w:rPr>
          <w:rFonts w:asciiTheme="minorHAnsi" w:hAnsiTheme="minorHAnsi" w:cstheme="minorHAnsi"/>
          <w:sz w:val="22"/>
          <w:szCs w:val="22"/>
        </w:rPr>
        <w:t xml:space="preserve"> exclusivo critério a definição da quantidade e do momento da aquisição.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04. Todos os bens fornecidos serão conferidos no momento da entrega, e se a quantidade e/ou qualidade dos mesmos não corresponder às especificações exigidas, a remessa apresentada será devolvida para substituição, adequações e/ou </w:t>
      </w:r>
      <w:proofErr w:type="spellStart"/>
      <w:r w:rsidRPr="00A64C66">
        <w:rPr>
          <w:rFonts w:asciiTheme="minorHAnsi" w:hAnsiTheme="minorHAnsi" w:cstheme="minorHAnsi"/>
          <w:sz w:val="22"/>
          <w:szCs w:val="22"/>
        </w:rPr>
        <w:t>reexecução</w:t>
      </w:r>
      <w:proofErr w:type="spellEnd"/>
      <w:r w:rsidRPr="00A64C66">
        <w:rPr>
          <w:rFonts w:asciiTheme="minorHAnsi" w:hAnsiTheme="minorHAnsi" w:cstheme="minorHAnsi"/>
          <w:sz w:val="22"/>
          <w:szCs w:val="22"/>
        </w:rPr>
        <w:t xml:space="preserve">, no prazo máximo de 03 (três) dias úteis, sem prejuízo da aplicação das penalidades cabíveis.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05. O (s) bem (s) objeto deste edital deverá (</w:t>
      </w:r>
      <w:proofErr w:type="spellStart"/>
      <w:r w:rsidRPr="00A64C66">
        <w:rPr>
          <w:rFonts w:asciiTheme="minorHAnsi" w:hAnsiTheme="minorHAnsi" w:cstheme="minorHAnsi"/>
          <w:sz w:val="22"/>
          <w:szCs w:val="22"/>
        </w:rPr>
        <w:t>ão</w:t>
      </w:r>
      <w:proofErr w:type="spellEnd"/>
      <w:r w:rsidRPr="00A64C66">
        <w:rPr>
          <w:rFonts w:asciiTheme="minorHAnsi" w:hAnsiTheme="minorHAnsi" w:cstheme="minorHAnsi"/>
          <w:sz w:val="22"/>
          <w:szCs w:val="22"/>
        </w:rPr>
        <w:t>) ser entregue (s) acompanhado (s) de nota (s) fiscal (</w:t>
      </w:r>
      <w:proofErr w:type="spellStart"/>
      <w:r w:rsidRPr="00A64C66">
        <w:rPr>
          <w:rFonts w:asciiTheme="minorHAnsi" w:hAnsiTheme="minorHAnsi" w:cstheme="minorHAnsi"/>
          <w:sz w:val="22"/>
          <w:szCs w:val="22"/>
        </w:rPr>
        <w:t>is</w:t>
      </w:r>
      <w:proofErr w:type="spellEnd"/>
      <w:r w:rsidRPr="00A64C66">
        <w:rPr>
          <w:rFonts w:asciiTheme="minorHAnsi" w:hAnsiTheme="minorHAnsi" w:cstheme="minorHAnsi"/>
          <w:sz w:val="22"/>
          <w:szCs w:val="22"/>
        </w:rPr>
        <w:t xml:space="preserve">) distinta(s), ou seja, de acordo com a Autorização de Entrega, constando o número da mesma, o valor unitário, a quantidade, o valor total e o local da entrega, além das demais exigências legais como número do processo licitatório e dados bancários.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lastRenderedPageBreak/>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95203B" w:rsidRPr="00A64C66" w:rsidRDefault="0095203B" w:rsidP="0095203B">
      <w:pPr>
        <w:pStyle w:val="NormalWeb"/>
        <w:rPr>
          <w:rFonts w:asciiTheme="minorHAnsi" w:hAnsiTheme="minorHAnsi" w:cstheme="minorHAnsi"/>
          <w:sz w:val="22"/>
          <w:szCs w:val="22"/>
        </w:rPr>
      </w:pPr>
      <w:r w:rsidRPr="00A64C66">
        <w:rPr>
          <w:rFonts w:asciiTheme="minorHAnsi" w:hAnsiTheme="minorHAnsi" w:cstheme="minorHAnsi"/>
          <w:b/>
          <w:bCs/>
          <w:sz w:val="22"/>
          <w:szCs w:val="22"/>
          <w:u w:val="single"/>
        </w:rPr>
        <w:t>CLÁUSULA TERCEIRA</w:t>
      </w:r>
      <w:r w:rsidRPr="00A64C66">
        <w:rPr>
          <w:rFonts w:asciiTheme="minorHAnsi" w:hAnsiTheme="minorHAnsi" w:cstheme="minorHAnsi"/>
          <w:b/>
          <w:bCs/>
          <w:sz w:val="22"/>
          <w:szCs w:val="22"/>
        </w:rPr>
        <w:t xml:space="preserve"> – DO PREÇO DOS BENS E DAS QUANTIDADES</w:t>
      </w:r>
      <w:r w:rsidRPr="00A64C66">
        <w:rPr>
          <w:rFonts w:asciiTheme="minorHAnsi" w:hAnsiTheme="minorHAnsi" w:cstheme="minorHAnsi"/>
          <w:sz w:val="22"/>
          <w:szCs w:val="22"/>
        </w:rPr>
        <w:t> </w:t>
      </w:r>
    </w:p>
    <w:p w:rsidR="0095203B" w:rsidRPr="00A64C66" w:rsidRDefault="0095203B" w:rsidP="004C0A30">
      <w:pPr>
        <w:pStyle w:val="SemEspaamento"/>
        <w:numPr>
          <w:ilvl w:val="0"/>
          <w:numId w:val="1"/>
        </w:numPr>
        <w:jc w:val="both"/>
        <w:rPr>
          <w:rFonts w:asciiTheme="minorHAnsi" w:hAnsiTheme="minorHAnsi" w:cstheme="minorHAnsi"/>
          <w:sz w:val="22"/>
          <w:szCs w:val="22"/>
        </w:rPr>
      </w:pPr>
      <w:r w:rsidRPr="00A64C66">
        <w:rPr>
          <w:rFonts w:asciiTheme="minorHAnsi" w:hAnsiTheme="minorHAnsi" w:cstheme="minorHAnsi"/>
          <w:sz w:val="22"/>
          <w:szCs w:val="22"/>
        </w:rPr>
        <w:t xml:space="preserve">Os valores para aquisição do objeto do Processo são os que constam na proposta enviada pela </w:t>
      </w:r>
      <w:r w:rsidRPr="00A64C66">
        <w:rPr>
          <w:rFonts w:asciiTheme="minorHAnsi" w:hAnsiTheme="minorHAnsi" w:cstheme="minorHAnsi"/>
          <w:b/>
          <w:sz w:val="22"/>
          <w:szCs w:val="22"/>
        </w:rPr>
        <w:t>CONTRATADA</w:t>
      </w:r>
      <w:r w:rsidRPr="00A64C66">
        <w:rPr>
          <w:rFonts w:asciiTheme="minorHAnsi" w:hAnsiTheme="minorHAnsi" w:cstheme="minorHAnsi"/>
          <w:sz w:val="22"/>
          <w:szCs w:val="22"/>
        </w:rPr>
        <w:t>, os quais seguem transcritos abaixo:</w:t>
      </w:r>
    </w:p>
    <w:tbl>
      <w:tblPr>
        <w:tblStyle w:val="Tabelacomgrade"/>
        <w:tblW w:w="0" w:type="auto"/>
        <w:tblLayout w:type="fixed"/>
        <w:tblLook w:val="04A0" w:firstRow="1" w:lastRow="0" w:firstColumn="1" w:lastColumn="0" w:noHBand="0" w:noVBand="1"/>
      </w:tblPr>
      <w:tblGrid>
        <w:gridCol w:w="633"/>
        <w:gridCol w:w="631"/>
        <w:gridCol w:w="687"/>
        <w:gridCol w:w="3969"/>
        <w:gridCol w:w="1559"/>
        <w:gridCol w:w="851"/>
        <w:gridCol w:w="958"/>
      </w:tblGrid>
      <w:tr w:rsidR="004C0A30" w:rsidRPr="00A64C66" w:rsidTr="00A64C66">
        <w:tc>
          <w:tcPr>
            <w:tcW w:w="633" w:type="dxa"/>
          </w:tcPr>
          <w:p w:rsidR="004C0A30" w:rsidRPr="00A64C66" w:rsidRDefault="004C0A30" w:rsidP="000B37F7">
            <w:pPr>
              <w:pStyle w:val="SemEspaamento"/>
              <w:jc w:val="center"/>
              <w:rPr>
                <w:rFonts w:asciiTheme="minorHAnsi" w:hAnsiTheme="minorHAnsi" w:cstheme="minorHAnsi"/>
                <w:b/>
                <w:sz w:val="14"/>
                <w:szCs w:val="14"/>
              </w:rPr>
            </w:pPr>
            <w:r w:rsidRPr="00A64C66">
              <w:rPr>
                <w:rFonts w:asciiTheme="minorHAnsi" w:hAnsiTheme="minorHAnsi" w:cstheme="minorHAnsi"/>
                <w:b/>
                <w:sz w:val="14"/>
                <w:szCs w:val="14"/>
              </w:rPr>
              <w:t>ITEM</w:t>
            </w:r>
          </w:p>
        </w:tc>
        <w:tc>
          <w:tcPr>
            <w:tcW w:w="631" w:type="dxa"/>
          </w:tcPr>
          <w:p w:rsidR="004C0A30" w:rsidRPr="00A64C66" w:rsidRDefault="004C0A30" w:rsidP="000B37F7">
            <w:pPr>
              <w:pStyle w:val="SemEspaamento"/>
              <w:jc w:val="center"/>
              <w:rPr>
                <w:rFonts w:asciiTheme="minorHAnsi" w:hAnsiTheme="minorHAnsi" w:cstheme="minorHAnsi"/>
                <w:b/>
                <w:sz w:val="14"/>
                <w:szCs w:val="14"/>
              </w:rPr>
            </w:pPr>
            <w:r w:rsidRPr="00A64C66">
              <w:rPr>
                <w:rFonts w:asciiTheme="minorHAnsi" w:hAnsiTheme="minorHAnsi" w:cstheme="minorHAnsi"/>
                <w:b/>
                <w:sz w:val="14"/>
                <w:szCs w:val="14"/>
              </w:rPr>
              <w:t>QTDE</w:t>
            </w:r>
          </w:p>
        </w:tc>
        <w:tc>
          <w:tcPr>
            <w:tcW w:w="687" w:type="dxa"/>
          </w:tcPr>
          <w:p w:rsidR="004C0A30" w:rsidRPr="00A64C66" w:rsidRDefault="004C0A30" w:rsidP="000B37F7">
            <w:pPr>
              <w:pStyle w:val="SemEspaamento"/>
              <w:jc w:val="center"/>
              <w:rPr>
                <w:rFonts w:asciiTheme="minorHAnsi" w:hAnsiTheme="minorHAnsi" w:cstheme="minorHAnsi"/>
                <w:b/>
                <w:sz w:val="14"/>
                <w:szCs w:val="14"/>
              </w:rPr>
            </w:pPr>
            <w:r w:rsidRPr="00A64C66">
              <w:rPr>
                <w:rFonts w:asciiTheme="minorHAnsi" w:hAnsiTheme="minorHAnsi" w:cstheme="minorHAnsi"/>
                <w:b/>
                <w:sz w:val="14"/>
                <w:szCs w:val="14"/>
              </w:rPr>
              <w:t>UNID.</w:t>
            </w:r>
          </w:p>
        </w:tc>
        <w:tc>
          <w:tcPr>
            <w:tcW w:w="3969" w:type="dxa"/>
          </w:tcPr>
          <w:p w:rsidR="004C0A30" w:rsidRPr="00A64C66" w:rsidRDefault="004C0A30" w:rsidP="000B37F7">
            <w:pPr>
              <w:pStyle w:val="SemEspaamento"/>
              <w:jc w:val="both"/>
              <w:rPr>
                <w:rFonts w:asciiTheme="minorHAnsi" w:hAnsiTheme="minorHAnsi" w:cstheme="minorHAnsi"/>
                <w:b/>
                <w:sz w:val="14"/>
                <w:szCs w:val="14"/>
              </w:rPr>
            </w:pPr>
            <w:r w:rsidRPr="00A64C66">
              <w:rPr>
                <w:rFonts w:asciiTheme="minorHAnsi" w:hAnsiTheme="minorHAnsi" w:cstheme="minorHAnsi"/>
                <w:b/>
                <w:sz w:val="14"/>
                <w:szCs w:val="14"/>
              </w:rPr>
              <w:t>DESCRIÇÃO</w:t>
            </w:r>
          </w:p>
        </w:tc>
        <w:tc>
          <w:tcPr>
            <w:tcW w:w="1559" w:type="dxa"/>
          </w:tcPr>
          <w:p w:rsidR="004C0A30" w:rsidRPr="00A64C66" w:rsidRDefault="004C0A30" w:rsidP="000B37F7">
            <w:pPr>
              <w:pStyle w:val="SemEspaamento"/>
              <w:jc w:val="center"/>
              <w:rPr>
                <w:rFonts w:asciiTheme="minorHAnsi" w:hAnsiTheme="minorHAnsi" w:cstheme="minorHAnsi"/>
                <w:b/>
                <w:sz w:val="14"/>
                <w:szCs w:val="14"/>
              </w:rPr>
            </w:pPr>
            <w:r w:rsidRPr="00A64C66">
              <w:rPr>
                <w:rFonts w:asciiTheme="minorHAnsi" w:hAnsiTheme="minorHAnsi" w:cstheme="minorHAnsi"/>
                <w:b/>
                <w:sz w:val="14"/>
                <w:szCs w:val="14"/>
              </w:rPr>
              <w:t>MARCA</w:t>
            </w:r>
          </w:p>
        </w:tc>
        <w:tc>
          <w:tcPr>
            <w:tcW w:w="851" w:type="dxa"/>
          </w:tcPr>
          <w:p w:rsidR="004C0A30" w:rsidRPr="00A64C66" w:rsidRDefault="004C0A30" w:rsidP="000B37F7">
            <w:pPr>
              <w:pStyle w:val="SemEspaamento"/>
              <w:jc w:val="center"/>
              <w:rPr>
                <w:rFonts w:asciiTheme="minorHAnsi" w:hAnsiTheme="minorHAnsi" w:cstheme="minorHAnsi"/>
                <w:b/>
                <w:sz w:val="14"/>
                <w:szCs w:val="14"/>
              </w:rPr>
            </w:pPr>
            <w:r w:rsidRPr="00A64C66">
              <w:rPr>
                <w:rFonts w:asciiTheme="minorHAnsi" w:hAnsiTheme="minorHAnsi" w:cstheme="minorHAnsi"/>
                <w:b/>
                <w:sz w:val="14"/>
                <w:szCs w:val="14"/>
              </w:rPr>
              <w:t>UNIT.</w:t>
            </w:r>
          </w:p>
        </w:tc>
        <w:tc>
          <w:tcPr>
            <w:tcW w:w="958" w:type="dxa"/>
          </w:tcPr>
          <w:p w:rsidR="004C0A30" w:rsidRPr="00A64C66" w:rsidRDefault="004C0A30" w:rsidP="000B37F7">
            <w:pPr>
              <w:pStyle w:val="SemEspaamento"/>
              <w:jc w:val="center"/>
              <w:rPr>
                <w:rFonts w:asciiTheme="minorHAnsi" w:hAnsiTheme="minorHAnsi" w:cstheme="minorHAnsi"/>
                <w:b/>
                <w:sz w:val="14"/>
                <w:szCs w:val="14"/>
              </w:rPr>
            </w:pPr>
            <w:r w:rsidRPr="00A64C66">
              <w:rPr>
                <w:rFonts w:asciiTheme="minorHAnsi" w:hAnsiTheme="minorHAnsi" w:cstheme="minorHAnsi"/>
                <w:b/>
                <w:sz w:val="14"/>
                <w:szCs w:val="14"/>
              </w:rPr>
              <w:t>TOTAL</w:t>
            </w:r>
          </w:p>
        </w:tc>
      </w:tr>
      <w:tr w:rsidR="004C0A30" w:rsidRPr="00A64C66" w:rsidTr="00A64C66">
        <w:tc>
          <w:tcPr>
            <w:tcW w:w="633" w:type="dxa"/>
          </w:tcPr>
          <w:p w:rsidR="004C0A30" w:rsidRPr="00A64C66" w:rsidRDefault="004C0A30" w:rsidP="000B37F7">
            <w:pPr>
              <w:pStyle w:val="SemEspaamento"/>
              <w:jc w:val="both"/>
              <w:rPr>
                <w:rFonts w:asciiTheme="minorHAnsi" w:eastAsia="Arial Unicode MS" w:hAnsiTheme="minorHAnsi" w:cstheme="minorHAnsi"/>
                <w:sz w:val="21"/>
                <w:szCs w:val="21"/>
              </w:rPr>
            </w:pPr>
            <w:r w:rsidRPr="00A64C66">
              <w:rPr>
                <w:rFonts w:asciiTheme="minorHAnsi" w:eastAsia="Arial Unicode MS" w:hAnsiTheme="minorHAnsi" w:cstheme="minorHAnsi"/>
                <w:sz w:val="21"/>
                <w:szCs w:val="21"/>
              </w:rPr>
              <w:t>01</w:t>
            </w:r>
          </w:p>
        </w:tc>
        <w:tc>
          <w:tcPr>
            <w:tcW w:w="631" w:type="dxa"/>
            <w:vAlign w:val="center"/>
          </w:tcPr>
          <w:p w:rsidR="00A64C66" w:rsidRDefault="004C0A30" w:rsidP="000B37F7">
            <w:pPr>
              <w:pStyle w:val="SemEspaamento"/>
              <w:jc w:val="both"/>
              <w:rPr>
                <w:rFonts w:asciiTheme="minorHAnsi" w:hAnsiTheme="minorHAnsi" w:cstheme="minorHAnsi"/>
                <w:sz w:val="21"/>
                <w:szCs w:val="21"/>
              </w:rPr>
            </w:pPr>
            <w:r w:rsidRPr="00A64C66">
              <w:rPr>
                <w:rFonts w:asciiTheme="minorHAnsi" w:hAnsiTheme="minorHAnsi" w:cstheme="minorHAnsi"/>
                <w:sz w:val="21"/>
                <w:szCs w:val="21"/>
              </w:rPr>
              <w:t>06</w:t>
            </w:r>
          </w:p>
          <w:p w:rsidR="00A64C66" w:rsidRPr="00A64C66" w:rsidRDefault="00A64C66" w:rsidP="000B37F7">
            <w:pPr>
              <w:pStyle w:val="SemEspaamento"/>
              <w:jc w:val="both"/>
              <w:rPr>
                <w:rFonts w:asciiTheme="minorHAnsi" w:hAnsiTheme="minorHAnsi" w:cstheme="minorHAnsi"/>
                <w:sz w:val="21"/>
                <w:szCs w:val="21"/>
              </w:rPr>
            </w:pPr>
          </w:p>
        </w:tc>
        <w:tc>
          <w:tcPr>
            <w:tcW w:w="687" w:type="dxa"/>
          </w:tcPr>
          <w:p w:rsidR="004C0A30" w:rsidRPr="00A64C66" w:rsidRDefault="004C0A30" w:rsidP="000B37F7">
            <w:pPr>
              <w:pStyle w:val="SemEspaamento"/>
              <w:jc w:val="both"/>
              <w:rPr>
                <w:rFonts w:asciiTheme="minorHAnsi" w:hAnsiTheme="minorHAnsi" w:cstheme="minorHAnsi"/>
                <w:sz w:val="21"/>
                <w:szCs w:val="21"/>
              </w:rPr>
            </w:pPr>
            <w:proofErr w:type="gramStart"/>
            <w:r w:rsidRPr="00A64C66">
              <w:rPr>
                <w:rFonts w:asciiTheme="minorHAnsi" w:hAnsiTheme="minorHAnsi" w:cstheme="minorHAnsi"/>
                <w:sz w:val="21"/>
                <w:szCs w:val="21"/>
              </w:rPr>
              <w:t>unid</w:t>
            </w:r>
            <w:proofErr w:type="gramEnd"/>
            <w:r w:rsidRPr="00A64C66">
              <w:rPr>
                <w:rFonts w:asciiTheme="minorHAnsi" w:hAnsiTheme="minorHAnsi" w:cstheme="minorHAnsi"/>
                <w:sz w:val="21"/>
                <w:szCs w:val="21"/>
              </w:rPr>
              <w:t>.</w:t>
            </w:r>
          </w:p>
        </w:tc>
        <w:tc>
          <w:tcPr>
            <w:tcW w:w="3969" w:type="dxa"/>
          </w:tcPr>
          <w:p w:rsidR="004C0A30" w:rsidRPr="00A64C66" w:rsidRDefault="004C0A30" w:rsidP="000B37F7">
            <w:pPr>
              <w:pStyle w:val="SemEspaamento"/>
              <w:jc w:val="both"/>
              <w:rPr>
                <w:rFonts w:asciiTheme="minorHAnsi" w:hAnsiTheme="minorHAnsi" w:cstheme="minorHAnsi"/>
                <w:sz w:val="21"/>
                <w:szCs w:val="21"/>
              </w:rPr>
            </w:pPr>
            <w:r w:rsidRPr="00A64C66">
              <w:rPr>
                <w:rFonts w:asciiTheme="minorHAnsi" w:hAnsiTheme="minorHAnsi" w:cstheme="minorHAnsi"/>
                <w:sz w:val="21"/>
                <w:szCs w:val="21"/>
                <w:shd w:val="clear" w:color="auto" w:fill="FFFFFF"/>
              </w:rPr>
              <w:t>Cuba Rim 26 x 12 cm, fabricada em aço inoxidável e possui capacidade de 740 ml.</w:t>
            </w:r>
          </w:p>
        </w:tc>
        <w:tc>
          <w:tcPr>
            <w:tcW w:w="1559" w:type="dxa"/>
          </w:tcPr>
          <w:p w:rsidR="004C0A30" w:rsidRPr="00A64C66" w:rsidRDefault="004C0A30" w:rsidP="000B37F7">
            <w:pPr>
              <w:pStyle w:val="SemEspaamento"/>
              <w:jc w:val="both"/>
              <w:rPr>
                <w:rFonts w:asciiTheme="minorHAnsi" w:hAnsiTheme="minorHAnsi" w:cstheme="minorHAnsi"/>
                <w:sz w:val="21"/>
                <w:szCs w:val="21"/>
              </w:rPr>
            </w:pPr>
            <w:proofErr w:type="spellStart"/>
            <w:r w:rsidRPr="00A64C66">
              <w:rPr>
                <w:rFonts w:asciiTheme="minorHAnsi" w:hAnsiTheme="minorHAnsi" w:cstheme="minorHAnsi"/>
                <w:sz w:val="21"/>
                <w:szCs w:val="21"/>
              </w:rPr>
              <w:t>Artinox</w:t>
            </w:r>
            <w:proofErr w:type="spellEnd"/>
            <w:r w:rsidRPr="00A64C66">
              <w:rPr>
                <w:rFonts w:asciiTheme="minorHAnsi" w:hAnsiTheme="minorHAnsi" w:cstheme="minorHAnsi"/>
                <w:sz w:val="21"/>
                <w:szCs w:val="21"/>
              </w:rPr>
              <w:t>/26x12</w:t>
            </w:r>
          </w:p>
        </w:tc>
        <w:tc>
          <w:tcPr>
            <w:tcW w:w="851" w:type="dxa"/>
          </w:tcPr>
          <w:p w:rsidR="004C0A30" w:rsidRPr="00A64C66" w:rsidRDefault="004C0A30" w:rsidP="000B37F7">
            <w:pPr>
              <w:pStyle w:val="SemEspaamento"/>
              <w:jc w:val="right"/>
              <w:rPr>
                <w:rFonts w:asciiTheme="minorHAnsi" w:hAnsiTheme="minorHAnsi" w:cstheme="minorHAnsi"/>
                <w:sz w:val="21"/>
                <w:szCs w:val="21"/>
              </w:rPr>
            </w:pPr>
            <w:r w:rsidRPr="00A64C66">
              <w:rPr>
                <w:rFonts w:asciiTheme="minorHAnsi" w:hAnsiTheme="minorHAnsi" w:cstheme="minorHAnsi"/>
                <w:sz w:val="21"/>
                <w:szCs w:val="21"/>
              </w:rPr>
              <w:t>50,00</w:t>
            </w:r>
          </w:p>
        </w:tc>
        <w:tc>
          <w:tcPr>
            <w:tcW w:w="958" w:type="dxa"/>
            <w:vAlign w:val="bottom"/>
          </w:tcPr>
          <w:p w:rsidR="00A64C66" w:rsidRPr="00A64C66" w:rsidRDefault="004C0A30" w:rsidP="000B37F7">
            <w:pPr>
              <w:jc w:val="right"/>
              <w:rPr>
                <w:rFonts w:cstheme="minorHAnsi"/>
                <w:color w:val="000000"/>
                <w:sz w:val="21"/>
                <w:szCs w:val="21"/>
              </w:rPr>
            </w:pPr>
            <w:r w:rsidRPr="00A64C66">
              <w:rPr>
                <w:rFonts w:cstheme="minorHAnsi"/>
                <w:color w:val="000000"/>
                <w:sz w:val="21"/>
                <w:szCs w:val="21"/>
              </w:rPr>
              <w:t>300,00</w:t>
            </w:r>
          </w:p>
          <w:p w:rsidR="004C0A30" w:rsidRPr="00A64C66" w:rsidRDefault="004C0A30" w:rsidP="000B37F7">
            <w:pPr>
              <w:jc w:val="right"/>
              <w:rPr>
                <w:rFonts w:cstheme="minorHAnsi"/>
                <w:color w:val="000000"/>
                <w:sz w:val="21"/>
                <w:szCs w:val="21"/>
              </w:rPr>
            </w:pPr>
          </w:p>
        </w:tc>
      </w:tr>
      <w:tr w:rsidR="004C0A30" w:rsidRPr="00A64C66" w:rsidTr="00A64C66">
        <w:tc>
          <w:tcPr>
            <w:tcW w:w="633" w:type="dxa"/>
          </w:tcPr>
          <w:p w:rsidR="004C0A30" w:rsidRPr="00A64C66" w:rsidRDefault="004C0A30" w:rsidP="000B37F7">
            <w:pPr>
              <w:pStyle w:val="SemEspaamento"/>
              <w:jc w:val="both"/>
              <w:rPr>
                <w:rFonts w:asciiTheme="minorHAnsi" w:eastAsia="Arial Unicode MS" w:hAnsiTheme="minorHAnsi" w:cstheme="minorHAnsi"/>
                <w:sz w:val="21"/>
                <w:szCs w:val="21"/>
              </w:rPr>
            </w:pPr>
            <w:r w:rsidRPr="00A64C66">
              <w:rPr>
                <w:rFonts w:asciiTheme="minorHAnsi" w:eastAsia="Arial Unicode MS" w:hAnsiTheme="minorHAnsi" w:cstheme="minorHAnsi"/>
                <w:sz w:val="21"/>
                <w:szCs w:val="21"/>
              </w:rPr>
              <w:t>04</w:t>
            </w:r>
          </w:p>
        </w:tc>
        <w:tc>
          <w:tcPr>
            <w:tcW w:w="631" w:type="dxa"/>
            <w:vAlign w:val="center"/>
          </w:tcPr>
          <w:p w:rsidR="004C0A30" w:rsidRDefault="004C0A30" w:rsidP="000B37F7">
            <w:pPr>
              <w:pStyle w:val="SemEspaamento"/>
              <w:jc w:val="both"/>
              <w:rPr>
                <w:rFonts w:asciiTheme="minorHAnsi" w:hAnsiTheme="minorHAnsi" w:cstheme="minorHAnsi"/>
                <w:sz w:val="21"/>
                <w:szCs w:val="21"/>
              </w:rPr>
            </w:pPr>
            <w:r w:rsidRPr="00A64C66">
              <w:rPr>
                <w:rFonts w:asciiTheme="minorHAnsi" w:hAnsiTheme="minorHAnsi" w:cstheme="minorHAnsi"/>
                <w:sz w:val="21"/>
                <w:szCs w:val="21"/>
              </w:rPr>
              <w:t>06</w:t>
            </w:r>
          </w:p>
          <w:p w:rsidR="00A64C66" w:rsidRPr="00A64C66" w:rsidRDefault="00A64C66"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p w:rsidR="004C0A30" w:rsidRPr="00A64C66" w:rsidRDefault="004C0A30" w:rsidP="000B37F7">
            <w:pPr>
              <w:pStyle w:val="SemEspaamento"/>
              <w:jc w:val="both"/>
              <w:rPr>
                <w:rFonts w:asciiTheme="minorHAnsi" w:hAnsiTheme="minorHAnsi" w:cstheme="minorHAnsi"/>
                <w:sz w:val="21"/>
                <w:szCs w:val="21"/>
              </w:rPr>
            </w:pPr>
          </w:p>
        </w:tc>
        <w:tc>
          <w:tcPr>
            <w:tcW w:w="687" w:type="dxa"/>
          </w:tcPr>
          <w:p w:rsidR="004C0A30" w:rsidRPr="00A64C66" w:rsidRDefault="004C0A30" w:rsidP="000B37F7">
            <w:pPr>
              <w:pStyle w:val="SemEspaamento"/>
              <w:jc w:val="both"/>
              <w:rPr>
                <w:rFonts w:asciiTheme="minorHAnsi" w:hAnsiTheme="minorHAnsi" w:cstheme="minorHAnsi"/>
                <w:sz w:val="21"/>
                <w:szCs w:val="21"/>
              </w:rPr>
            </w:pPr>
            <w:proofErr w:type="gramStart"/>
            <w:r w:rsidRPr="00A64C66">
              <w:rPr>
                <w:rFonts w:asciiTheme="minorHAnsi" w:hAnsiTheme="minorHAnsi" w:cstheme="minorHAnsi"/>
                <w:sz w:val="21"/>
                <w:szCs w:val="21"/>
              </w:rPr>
              <w:t>unid</w:t>
            </w:r>
            <w:proofErr w:type="gramEnd"/>
            <w:r w:rsidRPr="00A64C66">
              <w:rPr>
                <w:rFonts w:asciiTheme="minorHAnsi" w:hAnsiTheme="minorHAnsi" w:cstheme="minorHAnsi"/>
                <w:sz w:val="21"/>
                <w:szCs w:val="21"/>
              </w:rPr>
              <w:t>.</w:t>
            </w:r>
          </w:p>
        </w:tc>
        <w:tc>
          <w:tcPr>
            <w:tcW w:w="3969" w:type="dxa"/>
          </w:tcPr>
          <w:p w:rsidR="004C0A30" w:rsidRPr="00A64C66" w:rsidRDefault="004C0A30" w:rsidP="000B37F7">
            <w:pPr>
              <w:pStyle w:val="SemEspaamento"/>
              <w:jc w:val="both"/>
              <w:rPr>
                <w:rFonts w:asciiTheme="minorHAnsi" w:hAnsiTheme="minorHAnsi" w:cstheme="minorHAnsi"/>
                <w:b/>
                <w:sz w:val="21"/>
                <w:szCs w:val="21"/>
              </w:rPr>
            </w:pPr>
            <w:r w:rsidRPr="00A64C66">
              <w:rPr>
                <w:rFonts w:asciiTheme="minorHAnsi" w:hAnsiTheme="minorHAnsi" w:cstheme="minorHAnsi"/>
                <w:sz w:val="21"/>
                <w:szCs w:val="21"/>
              </w:rPr>
              <w:t xml:space="preserve">Foco auxiliar, Luminária flexível com lâmpada, estrutura em tubo redondo de </w:t>
            </w:r>
            <w:proofErr w:type="gramStart"/>
            <w:smartTag w:uri="urn:schemas-microsoft-com:office:smarttags" w:element="metricconverter">
              <w:smartTagPr>
                <w:attr w:name="ProductID" w:val="1”"/>
              </w:smartTagPr>
              <w:r w:rsidRPr="00A64C66">
                <w:rPr>
                  <w:rFonts w:asciiTheme="minorHAnsi" w:hAnsiTheme="minorHAnsi" w:cstheme="minorHAnsi"/>
                  <w:sz w:val="21"/>
                  <w:szCs w:val="21"/>
                </w:rPr>
                <w:t>1</w:t>
              </w:r>
              <w:proofErr w:type="gramEnd"/>
              <w:r w:rsidRPr="00A64C66">
                <w:rPr>
                  <w:rFonts w:asciiTheme="minorHAnsi" w:hAnsiTheme="minorHAnsi" w:cstheme="minorHAnsi"/>
                  <w:sz w:val="21"/>
                  <w:szCs w:val="21"/>
                </w:rPr>
                <w:t>”</w:t>
              </w:r>
            </w:smartTag>
            <w:r w:rsidRPr="00A64C66">
              <w:rPr>
                <w:rFonts w:asciiTheme="minorHAnsi" w:hAnsiTheme="minorHAnsi" w:cstheme="minorHAnsi"/>
                <w:sz w:val="21"/>
                <w:szCs w:val="21"/>
              </w:rPr>
              <w:t xml:space="preserve">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Normas da ABNT, Apresentar Registro no MS/ANVISA</w:t>
            </w:r>
          </w:p>
        </w:tc>
        <w:tc>
          <w:tcPr>
            <w:tcW w:w="1559" w:type="dxa"/>
          </w:tcPr>
          <w:p w:rsidR="004C0A30" w:rsidRPr="00A64C66" w:rsidRDefault="004C0A30" w:rsidP="000B37F7">
            <w:pPr>
              <w:pStyle w:val="SemEspaamento"/>
              <w:jc w:val="both"/>
              <w:rPr>
                <w:rFonts w:asciiTheme="minorHAnsi" w:hAnsiTheme="minorHAnsi" w:cstheme="minorHAnsi"/>
                <w:sz w:val="21"/>
                <w:szCs w:val="21"/>
              </w:rPr>
            </w:pPr>
            <w:r w:rsidRPr="00A64C66">
              <w:rPr>
                <w:rFonts w:asciiTheme="minorHAnsi" w:hAnsiTheme="minorHAnsi" w:cstheme="minorHAnsi"/>
                <w:sz w:val="21"/>
                <w:szCs w:val="21"/>
              </w:rPr>
              <w:t>Renascer/rn14026</w:t>
            </w:r>
          </w:p>
        </w:tc>
        <w:tc>
          <w:tcPr>
            <w:tcW w:w="851" w:type="dxa"/>
          </w:tcPr>
          <w:p w:rsidR="004C0A30" w:rsidRPr="00A64C66" w:rsidRDefault="004C0A30" w:rsidP="000B37F7">
            <w:pPr>
              <w:pStyle w:val="SemEspaamento"/>
              <w:jc w:val="right"/>
              <w:rPr>
                <w:rFonts w:asciiTheme="minorHAnsi" w:hAnsiTheme="minorHAnsi" w:cstheme="minorHAnsi"/>
                <w:sz w:val="21"/>
                <w:szCs w:val="21"/>
              </w:rPr>
            </w:pPr>
            <w:r w:rsidRPr="00A64C66">
              <w:rPr>
                <w:rFonts w:asciiTheme="minorHAnsi" w:hAnsiTheme="minorHAnsi" w:cstheme="minorHAnsi"/>
                <w:sz w:val="21"/>
                <w:szCs w:val="21"/>
              </w:rPr>
              <w:t>489,72</w:t>
            </w:r>
          </w:p>
        </w:tc>
        <w:tc>
          <w:tcPr>
            <w:tcW w:w="958" w:type="dxa"/>
            <w:vAlign w:val="bottom"/>
          </w:tcPr>
          <w:p w:rsidR="004C0A30" w:rsidRDefault="004C0A30" w:rsidP="000B37F7">
            <w:pPr>
              <w:jc w:val="right"/>
              <w:rPr>
                <w:rFonts w:cstheme="minorHAnsi"/>
                <w:color w:val="000000"/>
                <w:sz w:val="21"/>
                <w:szCs w:val="21"/>
              </w:rPr>
            </w:pPr>
            <w:r w:rsidRPr="00A64C66">
              <w:rPr>
                <w:rFonts w:cstheme="minorHAnsi"/>
                <w:color w:val="000000"/>
                <w:sz w:val="21"/>
                <w:szCs w:val="21"/>
              </w:rPr>
              <w:t>2938,32</w:t>
            </w:r>
          </w:p>
          <w:p w:rsidR="00A64C66" w:rsidRPr="00A64C66" w:rsidRDefault="00A64C66"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p w:rsidR="004C0A30" w:rsidRPr="00A64C66" w:rsidRDefault="004C0A30" w:rsidP="000B37F7">
            <w:pPr>
              <w:jc w:val="right"/>
              <w:rPr>
                <w:rFonts w:cstheme="minorHAnsi"/>
                <w:color w:val="000000"/>
                <w:sz w:val="21"/>
                <w:szCs w:val="21"/>
              </w:rPr>
            </w:pPr>
          </w:p>
        </w:tc>
      </w:tr>
      <w:tr w:rsidR="004C0A30" w:rsidRPr="00A64C66" w:rsidTr="00A64C66">
        <w:tc>
          <w:tcPr>
            <w:tcW w:w="633" w:type="dxa"/>
          </w:tcPr>
          <w:p w:rsidR="004C0A30" w:rsidRPr="00A64C66" w:rsidRDefault="004C0A30" w:rsidP="000B37F7">
            <w:pPr>
              <w:pStyle w:val="SemEspaamento"/>
              <w:jc w:val="both"/>
              <w:rPr>
                <w:rFonts w:asciiTheme="minorHAnsi" w:eastAsia="Arial Unicode MS" w:hAnsiTheme="minorHAnsi" w:cstheme="minorHAnsi"/>
                <w:sz w:val="21"/>
                <w:szCs w:val="21"/>
              </w:rPr>
            </w:pPr>
          </w:p>
        </w:tc>
        <w:tc>
          <w:tcPr>
            <w:tcW w:w="631" w:type="dxa"/>
            <w:vAlign w:val="center"/>
          </w:tcPr>
          <w:p w:rsidR="004C0A30" w:rsidRPr="00A64C66" w:rsidRDefault="004C0A30" w:rsidP="000B37F7">
            <w:pPr>
              <w:pStyle w:val="SemEspaamento"/>
              <w:jc w:val="both"/>
              <w:rPr>
                <w:rFonts w:asciiTheme="minorHAnsi" w:hAnsiTheme="minorHAnsi" w:cstheme="minorHAnsi"/>
                <w:sz w:val="21"/>
                <w:szCs w:val="21"/>
              </w:rPr>
            </w:pPr>
          </w:p>
        </w:tc>
        <w:tc>
          <w:tcPr>
            <w:tcW w:w="687" w:type="dxa"/>
          </w:tcPr>
          <w:p w:rsidR="004C0A30" w:rsidRPr="00A64C66" w:rsidRDefault="004C0A30" w:rsidP="000B37F7">
            <w:pPr>
              <w:pStyle w:val="SemEspaamento"/>
              <w:jc w:val="both"/>
              <w:rPr>
                <w:rFonts w:asciiTheme="minorHAnsi" w:hAnsiTheme="minorHAnsi" w:cstheme="minorHAnsi"/>
                <w:sz w:val="21"/>
                <w:szCs w:val="21"/>
              </w:rPr>
            </w:pPr>
          </w:p>
        </w:tc>
        <w:tc>
          <w:tcPr>
            <w:tcW w:w="3969" w:type="dxa"/>
          </w:tcPr>
          <w:p w:rsidR="004C0A30" w:rsidRPr="00A64C66" w:rsidRDefault="004C0A30" w:rsidP="000B37F7">
            <w:pPr>
              <w:pStyle w:val="SemEspaamento"/>
              <w:jc w:val="both"/>
              <w:rPr>
                <w:rFonts w:asciiTheme="minorHAnsi" w:hAnsiTheme="minorHAnsi" w:cstheme="minorHAnsi"/>
                <w:sz w:val="21"/>
                <w:szCs w:val="21"/>
              </w:rPr>
            </w:pPr>
            <w:r w:rsidRPr="00A64C66">
              <w:rPr>
                <w:rFonts w:asciiTheme="minorHAnsi" w:hAnsiTheme="minorHAnsi" w:cstheme="minorHAnsi"/>
                <w:sz w:val="21"/>
                <w:szCs w:val="21"/>
              </w:rPr>
              <w:t>T</w:t>
            </w:r>
            <w:r w:rsidRPr="00A64C66">
              <w:rPr>
                <w:rFonts w:asciiTheme="minorHAnsi" w:hAnsiTheme="minorHAnsi" w:cstheme="minorHAnsi"/>
                <w:sz w:val="21"/>
                <w:szCs w:val="21"/>
              </w:rPr>
              <w:t>otal</w:t>
            </w:r>
            <w:r w:rsidRPr="00A64C66">
              <w:rPr>
                <w:rFonts w:asciiTheme="minorHAnsi" w:hAnsiTheme="minorHAnsi" w:cstheme="minorHAnsi"/>
                <w:sz w:val="21"/>
                <w:szCs w:val="21"/>
              </w:rPr>
              <w:t xml:space="preserve"> </w:t>
            </w:r>
          </w:p>
        </w:tc>
        <w:tc>
          <w:tcPr>
            <w:tcW w:w="1559" w:type="dxa"/>
          </w:tcPr>
          <w:p w:rsidR="004C0A30" w:rsidRPr="00A64C66" w:rsidRDefault="004C0A30" w:rsidP="000B37F7">
            <w:pPr>
              <w:pStyle w:val="SemEspaamento"/>
              <w:jc w:val="both"/>
              <w:rPr>
                <w:rFonts w:asciiTheme="minorHAnsi" w:hAnsiTheme="minorHAnsi" w:cstheme="minorHAnsi"/>
                <w:sz w:val="21"/>
                <w:szCs w:val="21"/>
              </w:rPr>
            </w:pPr>
          </w:p>
        </w:tc>
        <w:tc>
          <w:tcPr>
            <w:tcW w:w="851" w:type="dxa"/>
          </w:tcPr>
          <w:p w:rsidR="004C0A30" w:rsidRPr="00A64C66" w:rsidRDefault="004C0A30" w:rsidP="000B37F7">
            <w:pPr>
              <w:pStyle w:val="SemEspaamento"/>
              <w:jc w:val="both"/>
              <w:rPr>
                <w:rFonts w:asciiTheme="minorHAnsi" w:hAnsiTheme="minorHAnsi" w:cstheme="minorHAnsi"/>
                <w:sz w:val="21"/>
                <w:szCs w:val="21"/>
              </w:rPr>
            </w:pPr>
          </w:p>
        </w:tc>
        <w:tc>
          <w:tcPr>
            <w:tcW w:w="958" w:type="dxa"/>
            <w:vAlign w:val="bottom"/>
          </w:tcPr>
          <w:p w:rsidR="004C0A30" w:rsidRPr="00A64C66" w:rsidRDefault="004C0A30" w:rsidP="000B37F7">
            <w:pPr>
              <w:jc w:val="right"/>
              <w:rPr>
                <w:rFonts w:cstheme="minorHAnsi"/>
                <w:color w:val="000000"/>
                <w:sz w:val="21"/>
                <w:szCs w:val="21"/>
              </w:rPr>
            </w:pPr>
            <w:r w:rsidRPr="00A64C66">
              <w:rPr>
                <w:rFonts w:cstheme="minorHAnsi"/>
                <w:color w:val="000000"/>
                <w:sz w:val="21"/>
                <w:szCs w:val="21"/>
              </w:rPr>
              <w:t>3238,22</w:t>
            </w:r>
          </w:p>
        </w:tc>
      </w:tr>
    </w:tbl>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02. O preço registrado poderá a critério da Administração, justificadamente, ser objeto de reequilíbrio econômico financeiro, para menos ou para mais, nos termos do art. 65, inciso II, letra </w:t>
      </w:r>
      <w:proofErr w:type="gramStart"/>
      <w:r w:rsidRPr="00A64C66">
        <w:rPr>
          <w:rFonts w:asciiTheme="minorHAnsi" w:hAnsiTheme="minorHAnsi" w:cstheme="minorHAnsi"/>
          <w:sz w:val="22"/>
          <w:szCs w:val="22"/>
        </w:rPr>
        <w:t>"d‟, da Lei Federal nº 8.666/93.</w:t>
      </w:r>
      <w:proofErr w:type="gramEnd"/>
      <w:r w:rsidRPr="00A64C66">
        <w:rPr>
          <w:rFonts w:asciiTheme="minorHAnsi" w:hAnsiTheme="minorHAnsi" w:cstheme="minorHAnsi"/>
          <w:sz w:val="22"/>
          <w:szCs w:val="22"/>
        </w:rPr>
        <w:t xml:space="preserve">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04. Quando o preço registrado tornar-se superior ao praticado no mercado, o Órgão Gerenciador deverá: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Convocar o fornecedor do bem ou prestador do serviço visando à negociação para a redução de preços e sua adequação ao mercado;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b) Liberar o fornecedor do bem ou prestador do serviço do compromisso assumido, e cancelar o seu registro, quando frustrada a negociação, respeitados os contratos já firmados;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c) Convocar os demais fornecedores, visando igual oportunidade de negociação.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Quando não houver êxito nas negociações para a readequação de preços, o Órgão Gerenciador cancelará o preço do bem ou do serviço registrado, publicando ATA COMPLEMENTAR da decisão.</w:t>
      </w:r>
    </w:p>
    <w:p w:rsidR="0095203B" w:rsidRPr="00A64C66" w:rsidRDefault="0095203B" w:rsidP="0095203B">
      <w:pPr>
        <w:pStyle w:val="SemEspaamento"/>
        <w:jc w:val="both"/>
        <w:rPr>
          <w:rFonts w:asciiTheme="minorHAnsi" w:hAnsiTheme="minorHAnsi" w:cstheme="minorHAnsi"/>
          <w:b/>
          <w:sz w:val="22"/>
          <w:szCs w:val="22"/>
        </w:rPr>
      </w:pPr>
      <w:r w:rsidRPr="00A64C66">
        <w:rPr>
          <w:rFonts w:asciiTheme="minorHAnsi" w:hAnsiTheme="minorHAnsi" w:cstheme="minorHAnsi"/>
          <w:b/>
          <w:sz w:val="22"/>
          <w:szCs w:val="22"/>
          <w:u w:val="single"/>
        </w:rPr>
        <w:lastRenderedPageBreak/>
        <w:t>CLÁUSULA QUARTA</w:t>
      </w:r>
      <w:r w:rsidRPr="00A64C66">
        <w:rPr>
          <w:rFonts w:asciiTheme="minorHAnsi" w:hAnsiTheme="minorHAnsi" w:cstheme="minorHAnsi"/>
          <w:b/>
          <w:sz w:val="22"/>
          <w:szCs w:val="22"/>
        </w:rPr>
        <w:t>: Do Cancelamento do Preço Registrado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01. O fornecedor do bem ou prestador do serviço terá seu preço registrado cancelado quando: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Descumprir as condições da ata de registro de preços;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b) Recusar-se a celebrar o contrato ou não retirar a Autorização de Fornecimento, no prazo estabelecido pela Administração, sem justificativa aceitável;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c) Não aceitar reduzir o seu preço registrado, quando este se tornar superior àqueles praticados no mercado;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d) For suspenso ou declarado inidôneo para licitar ou contratar com a Administração nos termos do artigo 87, inciso IV, da Lei Federal nº 8.666/93;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e) For impedido de licitar e contratar com a Administração nos termos do artigo 7º da Lei Federal nº 10.520/02.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pStyle w:val="SemEspaamento"/>
        <w:jc w:val="both"/>
        <w:rPr>
          <w:rFonts w:asciiTheme="minorHAnsi" w:hAnsiTheme="minorHAnsi" w:cstheme="minorHAnsi"/>
          <w:b/>
          <w:sz w:val="22"/>
          <w:szCs w:val="22"/>
        </w:rPr>
      </w:pPr>
      <w:r w:rsidRPr="00A64C66">
        <w:rPr>
          <w:rFonts w:asciiTheme="minorHAnsi" w:hAnsiTheme="minorHAnsi" w:cstheme="minorHAnsi"/>
          <w:b/>
          <w:sz w:val="22"/>
          <w:szCs w:val="22"/>
          <w:u w:val="single"/>
        </w:rPr>
        <w:t>CLÁUSULA QUINTA</w:t>
      </w:r>
      <w:r w:rsidRPr="00A64C66">
        <w:rPr>
          <w:rFonts w:asciiTheme="minorHAnsi" w:hAnsiTheme="minorHAnsi" w:cstheme="minorHAnsi"/>
          <w:b/>
          <w:sz w:val="22"/>
          <w:szCs w:val="22"/>
        </w:rPr>
        <w:t>: Da Garantia</w:t>
      </w:r>
    </w:p>
    <w:p w:rsidR="0095203B" w:rsidRPr="00A64C66" w:rsidRDefault="0095203B" w:rsidP="0095203B">
      <w:pPr>
        <w:pStyle w:val="SemEspaamento"/>
        <w:jc w:val="both"/>
        <w:rPr>
          <w:rFonts w:asciiTheme="minorHAnsi" w:hAnsiTheme="minorHAnsi" w:cstheme="minorHAnsi"/>
          <w:b/>
          <w:sz w:val="22"/>
          <w:szCs w:val="22"/>
        </w:rPr>
      </w:pPr>
    </w:p>
    <w:p w:rsidR="0095203B" w:rsidRPr="00A64C66" w:rsidRDefault="0095203B" w:rsidP="004C0A30">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A CONTRATADA se obriga a prestar garantia dos produtos cotados, na forma da Lei, conforme especificada na sua proposta de preços, que passa a ser parte integrante deste instrumento, independente de transcrição.</w:t>
      </w:r>
    </w:p>
    <w:p w:rsidR="0095203B" w:rsidRPr="00A64C66" w:rsidRDefault="0095203B" w:rsidP="004C0A30">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 Para efeitos de garantia, a vigência dos contratos decorrentes desta Ata de Registro de Preços se dará até o término da garantia ofertada para os produtos pela CONTRATADA, conforme descrito na sua Proposta de Preços.</w:t>
      </w:r>
    </w:p>
    <w:p w:rsidR="0095203B" w:rsidRPr="00A64C66" w:rsidRDefault="0095203B" w:rsidP="0095203B">
      <w:pPr>
        <w:spacing w:before="100" w:beforeAutospacing="1" w:after="100" w:afterAutospacing="1"/>
        <w:jc w:val="both"/>
        <w:rPr>
          <w:rFonts w:cstheme="minorHAnsi"/>
        </w:rPr>
      </w:pPr>
      <w:r w:rsidRPr="00A64C66">
        <w:rPr>
          <w:rFonts w:cstheme="minorHAnsi"/>
          <w:b/>
          <w:bCs/>
          <w:u w:val="single"/>
        </w:rPr>
        <w:t>CLÁUSULA SEXTA</w:t>
      </w:r>
      <w:r w:rsidRPr="00A64C66">
        <w:rPr>
          <w:rFonts w:cstheme="minorHAnsi"/>
          <w:b/>
          <w:bCs/>
        </w:rPr>
        <w:t xml:space="preserve"> – DA FORMA DE PAGAMENTO</w:t>
      </w:r>
      <w:r w:rsidRPr="00A64C66">
        <w:rPr>
          <w:rFonts w:cstheme="minorHAnsi"/>
        </w:rPr>
        <w:t>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O pagamento será efetuado por Transferência eletrônica (TED) em </w:t>
      </w:r>
      <w:r w:rsidRPr="00A64C66">
        <w:rPr>
          <w:rFonts w:asciiTheme="minorHAnsi" w:hAnsiTheme="minorHAnsi" w:cstheme="minorHAnsi"/>
          <w:b/>
          <w:sz w:val="22"/>
          <w:szCs w:val="22"/>
        </w:rPr>
        <w:t xml:space="preserve">CONTA CORRENTE N.º </w:t>
      </w:r>
      <w:r w:rsidR="004C0A30" w:rsidRPr="00A64C66">
        <w:rPr>
          <w:rFonts w:asciiTheme="minorHAnsi" w:hAnsiTheme="minorHAnsi" w:cstheme="minorHAnsi"/>
          <w:b/>
          <w:sz w:val="22"/>
          <w:szCs w:val="22"/>
        </w:rPr>
        <w:t>31999-6</w:t>
      </w:r>
      <w:r w:rsidRPr="00A64C66">
        <w:rPr>
          <w:rFonts w:asciiTheme="minorHAnsi" w:hAnsiTheme="minorHAnsi" w:cstheme="minorHAnsi"/>
          <w:b/>
          <w:sz w:val="22"/>
          <w:szCs w:val="22"/>
        </w:rPr>
        <w:t xml:space="preserve"> - AGENCIA </w:t>
      </w:r>
      <w:r w:rsidR="004C0A30" w:rsidRPr="00A64C66">
        <w:rPr>
          <w:rFonts w:asciiTheme="minorHAnsi" w:hAnsiTheme="minorHAnsi" w:cstheme="minorHAnsi"/>
          <w:b/>
          <w:sz w:val="22"/>
          <w:szCs w:val="22"/>
        </w:rPr>
        <w:t>1472-9</w:t>
      </w:r>
      <w:r w:rsidRPr="00A64C66">
        <w:rPr>
          <w:rFonts w:asciiTheme="minorHAnsi" w:hAnsiTheme="minorHAnsi" w:cstheme="minorHAnsi"/>
          <w:b/>
          <w:sz w:val="22"/>
          <w:szCs w:val="22"/>
        </w:rPr>
        <w:t xml:space="preserve"> - BANCO DO BRASIL</w:t>
      </w:r>
      <w:r w:rsidRPr="00A64C66">
        <w:rPr>
          <w:rFonts w:asciiTheme="minorHAnsi" w:hAnsiTheme="minorHAnsi" w:cstheme="minorHAnsi"/>
          <w:sz w:val="22"/>
          <w:szCs w:val="22"/>
        </w:rPr>
        <w:t xml:space="preserve"> até o 15º dia útil do mês subsequente, contados do recebimento dos produtos; proporcional a cada solicitação, após apresentação da Nota Fiscal Eletrônica/Fatura; devidamente atestada pelo setor competente.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b/>
          <w:sz w:val="22"/>
          <w:szCs w:val="22"/>
        </w:rPr>
        <w:t xml:space="preserve">As Notas Fiscais dos produtos quando solicitados deverão ser emitidas em nome do FUNDO MUNICIPAL DE SAÚDE DE RIBEIRÃO DO PINHAL – CNPJ: 09.654.201/0001-87-Rua Paraná 940 – Centro.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Caso ocorra a qualquer tempo, a não aceitação do objeto e a não atestação de idoneidade da proponente, os pagamentos serão descontinuados e reiniciados após a correção necessária.</w:t>
      </w:r>
    </w:p>
    <w:p w:rsidR="0095203B" w:rsidRPr="00A64C66" w:rsidRDefault="0095203B" w:rsidP="0095203B">
      <w:pPr>
        <w:pStyle w:val="SemEspaamento"/>
        <w:jc w:val="both"/>
        <w:rPr>
          <w:rFonts w:asciiTheme="minorHAnsi" w:hAnsiTheme="minorHAnsi" w:cstheme="minorHAnsi"/>
          <w:b/>
          <w:sz w:val="22"/>
          <w:szCs w:val="22"/>
        </w:rPr>
      </w:pPr>
      <w:r w:rsidRPr="00A64C66">
        <w:rPr>
          <w:rFonts w:asciiTheme="minorHAnsi" w:hAnsiTheme="minorHAnsi" w:cstheme="minorHAnsi"/>
          <w:sz w:val="22"/>
          <w:szCs w:val="22"/>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A64C66">
        <w:rPr>
          <w:rFonts w:asciiTheme="minorHAnsi" w:hAnsiTheme="minorHAnsi" w:cstheme="minorHAnsi"/>
          <w:b/>
          <w:sz w:val="22"/>
          <w:szCs w:val="22"/>
        </w:rPr>
        <w:t>CONTRATADA.</w:t>
      </w:r>
    </w:p>
    <w:p w:rsidR="0095203B" w:rsidRPr="00A64C66" w:rsidRDefault="0095203B" w:rsidP="0095203B">
      <w:pPr>
        <w:pStyle w:val="NormalWeb"/>
        <w:jc w:val="both"/>
        <w:rPr>
          <w:rFonts w:asciiTheme="minorHAnsi" w:hAnsiTheme="minorHAnsi" w:cstheme="minorHAnsi"/>
          <w:sz w:val="22"/>
          <w:szCs w:val="22"/>
        </w:rPr>
      </w:pPr>
      <w:r w:rsidRPr="00A64C66">
        <w:rPr>
          <w:rFonts w:asciiTheme="minorHAnsi" w:hAnsiTheme="minorHAnsi" w:cstheme="minorHAnsi"/>
          <w:sz w:val="22"/>
          <w:szCs w:val="22"/>
        </w:rPr>
        <w:t> </w:t>
      </w:r>
      <w:r w:rsidRPr="00A64C66">
        <w:rPr>
          <w:rFonts w:asciiTheme="minorHAnsi" w:hAnsiTheme="minorHAnsi" w:cstheme="minorHAnsi"/>
          <w:b/>
          <w:bCs/>
          <w:sz w:val="22"/>
          <w:szCs w:val="22"/>
          <w:u w:val="single"/>
        </w:rPr>
        <w:t>CLÁUSULA SÉTIMA</w:t>
      </w:r>
      <w:r w:rsidRPr="00A64C66">
        <w:rPr>
          <w:rFonts w:asciiTheme="minorHAnsi" w:hAnsiTheme="minorHAnsi" w:cstheme="minorHAnsi"/>
          <w:b/>
          <w:bCs/>
          <w:sz w:val="22"/>
          <w:szCs w:val="22"/>
        </w:rPr>
        <w:t xml:space="preserve"> – DA DOTAÇÃO ORÇAMENTÁRIA</w:t>
      </w:r>
      <w:r w:rsidRPr="00A64C66">
        <w:rPr>
          <w:rFonts w:asciiTheme="minorHAnsi" w:hAnsiTheme="minorHAnsi" w:cstheme="minorHAnsi"/>
          <w:sz w:val="22"/>
          <w:szCs w:val="22"/>
        </w:rPr>
        <w:t> </w:t>
      </w:r>
    </w:p>
    <w:p w:rsidR="0095203B" w:rsidRPr="00A64C66" w:rsidRDefault="0095203B" w:rsidP="0095203B">
      <w:pPr>
        <w:pStyle w:val="NormalWeb"/>
        <w:jc w:val="both"/>
        <w:rPr>
          <w:rFonts w:asciiTheme="minorHAnsi" w:hAnsiTheme="minorHAnsi" w:cstheme="minorHAnsi"/>
          <w:sz w:val="22"/>
          <w:szCs w:val="22"/>
        </w:rPr>
      </w:pPr>
      <w:r w:rsidRPr="00A64C66">
        <w:rPr>
          <w:rFonts w:asciiTheme="minorHAnsi" w:hAnsiTheme="minorHAnsi" w:cstheme="minorHAnsi"/>
          <w:sz w:val="22"/>
          <w:szCs w:val="22"/>
        </w:rPr>
        <w:t>As despesas com a execução deste contrato correrão no orçamento da Dotação Orçamentária:</w:t>
      </w:r>
      <w:r w:rsidR="004C0A30" w:rsidRPr="00A64C66">
        <w:rPr>
          <w:rFonts w:asciiTheme="minorHAnsi" w:hAnsiTheme="minorHAnsi" w:cstheme="minorHAnsi"/>
          <w:sz w:val="22"/>
          <w:szCs w:val="22"/>
        </w:rPr>
        <w:t xml:space="preserve"> </w:t>
      </w:r>
      <w:r w:rsidRPr="00A64C66">
        <w:rPr>
          <w:rFonts w:asciiTheme="minorHAnsi" w:hAnsiTheme="minorHAnsi" w:cstheme="minorHAnsi"/>
          <w:sz w:val="22"/>
          <w:szCs w:val="22"/>
        </w:rPr>
        <w:t>0800</w:t>
      </w:r>
      <w:r w:rsidR="004C0A30" w:rsidRPr="00A64C66">
        <w:rPr>
          <w:rFonts w:asciiTheme="minorHAnsi" w:hAnsiTheme="minorHAnsi" w:cstheme="minorHAnsi"/>
          <w:sz w:val="22"/>
          <w:szCs w:val="22"/>
        </w:rPr>
        <w:t>1.10.301.0011.2025-</w:t>
      </w:r>
      <w:proofErr w:type="gramStart"/>
      <w:r w:rsidR="004C0A30" w:rsidRPr="00A64C66">
        <w:rPr>
          <w:rFonts w:asciiTheme="minorHAnsi" w:hAnsiTheme="minorHAnsi" w:cstheme="minorHAnsi"/>
          <w:sz w:val="22"/>
          <w:szCs w:val="22"/>
        </w:rPr>
        <w:t>3390300000-14</w:t>
      </w:r>
      <w:r w:rsidRPr="00A64C66">
        <w:rPr>
          <w:rFonts w:asciiTheme="minorHAnsi" w:hAnsiTheme="minorHAnsi" w:cstheme="minorHAnsi"/>
          <w:sz w:val="22"/>
          <w:szCs w:val="22"/>
        </w:rPr>
        <w:t>90-</w:t>
      </w:r>
      <w:r w:rsidR="004C0A30" w:rsidRPr="00A64C66">
        <w:rPr>
          <w:rFonts w:asciiTheme="minorHAnsi" w:hAnsiTheme="minorHAnsi" w:cstheme="minorHAnsi"/>
          <w:sz w:val="22"/>
          <w:szCs w:val="22"/>
        </w:rPr>
        <w:t>495, 4490520000-01500-49</w:t>
      </w:r>
      <w:proofErr w:type="gramEnd"/>
      <w:r w:rsidR="004C0A30" w:rsidRPr="00A64C66">
        <w:rPr>
          <w:rFonts w:asciiTheme="minorHAnsi" w:hAnsiTheme="minorHAnsi" w:cstheme="minorHAnsi"/>
          <w:sz w:val="22"/>
          <w:szCs w:val="22"/>
        </w:rPr>
        <w:t xml:space="preserve">; </w:t>
      </w:r>
      <w:r w:rsidR="004C0A30" w:rsidRPr="00A64C66">
        <w:rPr>
          <w:rFonts w:asciiTheme="minorHAnsi" w:hAnsiTheme="minorHAnsi" w:cstheme="minorHAnsi"/>
          <w:sz w:val="22"/>
          <w:szCs w:val="22"/>
        </w:rPr>
        <w:t>0800</w:t>
      </w:r>
      <w:r w:rsidR="004C0A30" w:rsidRPr="00A64C66">
        <w:rPr>
          <w:rFonts w:asciiTheme="minorHAnsi" w:hAnsiTheme="minorHAnsi" w:cstheme="minorHAnsi"/>
          <w:sz w:val="22"/>
          <w:szCs w:val="22"/>
        </w:rPr>
        <w:t>1.10.301.0011.2026-3390300000-158</w:t>
      </w:r>
      <w:r w:rsidR="004C0A30" w:rsidRPr="00A64C66">
        <w:rPr>
          <w:rFonts w:asciiTheme="minorHAnsi" w:hAnsiTheme="minorHAnsi" w:cstheme="minorHAnsi"/>
          <w:sz w:val="22"/>
          <w:szCs w:val="22"/>
        </w:rPr>
        <w:t>0-</w:t>
      </w:r>
      <w:r w:rsidR="004C0A30" w:rsidRPr="00A64C66">
        <w:rPr>
          <w:rFonts w:asciiTheme="minorHAnsi" w:hAnsiTheme="minorHAnsi" w:cstheme="minorHAnsi"/>
          <w:sz w:val="22"/>
          <w:szCs w:val="22"/>
        </w:rPr>
        <w:t>303, 01600-303, 449520000-01610-303 e 1030100112076-3390300000-01722-494</w:t>
      </w:r>
      <w:r w:rsidRPr="00A64C66">
        <w:rPr>
          <w:rFonts w:asciiTheme="minorHAnsi" w:hAnsiTheme="minorHAnsi" w:cstheme="minorHAnsi"/>
          <w:sz w:val="22"/>
          <w:szCs w:val="22"/>
        </w:rPr>
        <w:t>.</w:t>
      </w:r>
    </w:p>
    <w:p w:rsidR="0095203B" w:rsidRPr="00A64C66" w:rsidRDefault="0095203B" w:rsidP="0095203B">
      <w:pPr>
        <w:pStyle w:val="NormalWeb"/>
        <w:rPr>
          <w:rFonts w:asciiTheme="minorHAnsi" w:hAnsiTheme="minorHAnsi" w:cstheme="minorHAnsi"/>
          <w:sz w:val="22"/>
          <w:szCs w:val="22"/>
        </w:rPr>
      </w:pPr>
      <w:r w:rsidRPr="00A64C66">
        <w:rPr>
          <w:rFonts w:asciiTheme="minorHAnsi" w:hAnsiTheme="minorHAnsi" w:cstheme="minorHAnsi"/>
          <w:b/>
          <w:bCs/>
          <w:sz w:val="22"/>
          <w:szCs w:val="22"/>
          <w:u w:val="single"/>
        </w:rPr>
        <w:lastRenderedPageBreak/>
        <w:t>CLÁUSULA OITAVA</w:t>
      </w:r>
      <w:r w:rsidRPr="00A64C66">
        <w:rPr>
          <w:rFonts w:asciiTheme="minorHAnsi" w:hAnsiTheme="minorHAnsi" w:cstheme="minorHAnsi"/>
          <w:b/>
          <w:bCs/>
          <w:sz w:val="22"/>
          <w:szCs w:val="22"/>
        </w:rPr>
        <w:t xml:space="preserve"> – DAS OBRIGAÇÕES DO CONTRATANTE</w:t>
      </w:r>
      <w:r w:rsidRPr="00A64C66">
        <w:rPr>
          <w:rFonts w:asciiTheme="minorHAnsi" w:hAnsiTheme="minorHAnsi" w:cstheme="minorHAnsi"/>
          <w:sz w:val="22"/>
          <w:szCs w:val="22"/>
        </w:rPr>
        <w:t> </w:t>
      </w:r>
    </w:p>
    <w:p w:rsidR="0095203B" w:rsidRPr="00A64C66" w:rsidRDefault="0095203B" w:rsidP="0095203B">
      <w:pPr>
        <w:pStyle w:val="NormalWeb"/>
        <w:rPr>
          <w:rFonts w:asciiTheme="minorHAnsi" w:hAnsiTheme="minorHAnsi" w:cstheme="minorHAnsi"/>
          <w:sz w:val="22"/>
          <w:szCs w:val="22"/>
        </w:rPr>
      </w:pPr>
      <w:r w:rsidRPr="00A64C66">
        <w:rPr>
          <w:rFonts w:asciiTheme="minorHAnsi" w:hAnsiTheme="minorHAnsi" w:cstheme="minorHAnsi"/>
          <w:sz w:val="22"/>
          <w:szCs w:val="22"/>
        </w:rPr>
        <w:t xml:space="preserve">A CONTRATANTE obrigar-se-á: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Proporcionar à CONTRATADA todas as condições necessárias ao pleno cumprimento das obrigações decorrentes </w:t>
      </w:r>
      <w:proofErr w:type="gramStart"/>
      <w:r w:rsidRPr="00A64C66">
        <w:rPr>
          <w:rFonts w:asciiTheme="minorHAnsi" w:hAnsiTheme="minorHAnsi" w:cstheme="minorHAnsi"/>
          <w:sz w:val="22"/>
          <w:szCs w:val="22"/>
        </w:rPr>
        <w:t>da presente</w:t>
      </w:r>
      <w:proofErr w:type="gramEnd"/>
      <w:r w:rsidRPr="00A64C66">
        <w:rPr>
          <w:rFonts w:asciiTheme="minorHAnsi" w:hAnsiTheme="minorHAnsi" w:cstheme="minorHAnsi"/>
          <w:sz w:val="22"/>
          <w:szCs w:val="22"/>
        </w:rPr>
        <w:t xml:space="preserve"> licitação, consoante estabelece a Lei Federal nº 8.666/93; e demais normas </w:t>
      </w:r>
      <w:proofErr w:type="spellStart"/>
      <w:r w:rsidRPr="00A64C66">
        <w:rPr>
          <w:rFonts w:asciiTheme="minorHAnsi" w:hAnsiTheme="minorHAnsi" w:cstheme="minorHAnsi"/>
          <w:sz w:val="22"/>
          <w:szCs w:val="22"/>
        </w:rPr>
        <w:t>editalícias</w:t>
      </w:r>
      <w:proofErr w:type="spellEnd"/>
      <w:r w:rsidRPr="00A64C66">
        <w:rPr>
          <w:rFonts w:asciiTheme="minorHAnsi" w:hAnsiTheme="minorHAnsi" w:cstheme="minorHAnsi"/>
          <w:sz w:val="22"/>
          <w:szCs w:val="22"/>
        </w:rPr>
        <w:t xml:space="preserve">;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b) Fiscalizar e acompanhar o recebimento do objeto deste Pregão Presencial, através dos solicitantes Responsáveis pela Fiscalização e Recebimento;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c) Comunicar a CONTRATADA toda e qualquer ocorrência relacionada com a execução do Contrato nos termos da Ata de Registro de Preços, diligenciando nos casos que exigem providências corretivas;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d) Providenciar os pagamentos à CONTRATADA à vista das Notas Fiscais Eletrônicas/Faturas; devidamente atestadas nos prazos fixados;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e) Arcar com os encargos no caso do não pagamento nos prazos e condições previstas na Cláusula Sexta desta Ata de Registro de Preços. </w:t>
      </w:r>
    </w:p>
    <w:p w:rsidR="0095203B" w:rsidRPr="00A64C66" w:rsidRDefault="0095203B" w:rsidP="0095203B">
      <w:pPr>
        <w:pStyle w:val="NormalWeb"/>
        <w:rPr>
          <w:rFonts w:asciiTheme="minorHAnsi" w:hAnsiTheme="minorHAnsi" w:cstheme="minorHAnsi"/>
          <w:sz w:val="22"/>
          <w:szCs w:val="22"/>
        </w:rPr>
      </w:pPr>
      <w:r w:rsidRPr="00A64C66">
        <w:rPr>
          <w:rFonts w:asciiTheme="minorHAnsi" w:hAnsiTheme="minorHAnsi" w:cstheme="minorHAnsi"/>
          <w:b/>
          <w:bCs/>
          <w:sz w:val="22"/>
          <w:szCs w:val="22"/>
          <w:u w:val="single"/>
        </w:rPr>
        <w:t>CLÁUSULA NONA</w:t>
      </w:r>
      <w:r w:rsidRPr="00A64C66">
        <w:rPr>
          <w:rFonts w:asciiTheme="minorHAnsi" w:hAnsiTheme="minorHAnsi" w:cstheme="minorHAnsi"/>
          <w:b/>
          <w:bCs/>
          <w:sz w:val="22"/>
          <w:szCs w:val="22"/>
        </w:rPr>
        <w:t xml:space="preserve"> – DAS OBRIGAÇÕES DA CONTRATADA</w:t>
      </w:r>
      <w:r w:rsidRPr="00A64C66">
        <w:rPr>
          <w:rFonts w:asciiTheme="minorHAnsi" w:hAnsiTheme="minorHAnsi" w:cstheme="minorHAnsi"/>
          <w:sz w:val="22"/>
          <w:szCs w:val="22"/>
        </w:rPr>
        <w:t>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CONTRATADA obrigar-se-á: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a) Executar o Objeto referente ao Edital do Pregão Presencial, de acordo estritamente com as especificações descritas no mesmo;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b) Entregar os produtos descritos nas Autorizações de Entrega,</w:t>
      </w:r>
      <w:proofErr w:type="gramStart"/>
      <w:r w:rsidRPr="00A64C66">
        <w:rPr>
          <w:rFonts w:asciiTheme="minorHAnsi" w:hAnsiTheme="minorHAnsi" w:cstheme="minorHAnsi"/>
          <w:sz w:val="22"/>
          <w:szCs w:val="22"/>
        </w:rPr>
        <w:t xml:space="preserve">  </w:t>
      </w:r>
      <w:proofErr w:type="gramEnd"/>
      <w:r w:rsidRPr="00A64C66">
        <w:rPr>
          <w:rFonts w:asciiTheme="minorHAnsi" w:hAnsiTheme="minorHAnsi" w:cstheme="minorHAnsi"/>
          <w:sz w:val="22"/>
          <w:szCs w:val="22"/>
        </w:rPr>
        <w:t xml:space="preserve">nos quantitativos previstos na proposta de preços conforme definidos neste Edital e em consonância com o objeto e descritivos dos mesmos;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c) Comunicar imediatamente eventuais problemas na entrega do objeto, fundamentando justificadamente e documentalmente os seus motivos; para posterior análise da CONTRATANTE; ficando </w:t>
      </w:r>
      <w:proofErr w:type="gramStart"/>
      <w:r w:rsidRPr="00A64C66">
        <w:rPr>
          <w:rFonts w:asciiTheme="minorHAnsi" w:hAnsiTheme="minorHAnsi" w:cstheme="minorHAnsi"/>
          <w:sz w:val="22"/>
          <w:szCs w:val="22"/>
        </w:rPr>
        <w:t>a seu</w:t>
      </w:r>
      <w:proofErr w:type="gramEnd"/>
      <w:r w:rsidRPr="00A64C66">
        <w:rPr>
          <w:rFonts w:asciiTheme="minorHAnsi" w:hAnsiTheme="minorHAnsi" w:cstheme="minorHAnsi"/>
          <w:sz w:val="22"/>
          <w:szCs w:val="22"/>
        </w:rPr>
        <w:t xml:space="preserve"> exclusivo critério a aceitabilidade; independente de aplicação das penalidades prevista em lei;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f) Reparar, corrigir, remover, substituir, às suas expensas no total ou em parte, o Objeto do Contrato em que se verificarem vícios, defeitos ou incorreções resultantes da execução;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g) Manter todas as condições de habilitação e qualificação exigidas na licitação, nos termos do art. 55, inciso XIII, da Lei Federal nº 8.666/93;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i) No caso de empresas locais, deverá ainda ser apresentada a Certidão Negativa de Débitos Municipais;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j) Acatar todas as demais condições e assumir as obrigações contidas no Edital, seus anexos e nos Contratos oriundos desta Ata de Registro de Preços.</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lastRenderedPageBreak/>
        <w:t>K) Entregar os produtos de acordo com legislação vigente e com prazo de validade mínimo de 12 meses.</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l) Informar a contratante por escrito sobre a ausência de algum produto no mercado.</w:t>
      </w: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pStyle w:val="SemEspaamento"/>
        <w:jc w:val="both"/>
        <w:rPr>
          <w:rFonts w:asciiTheme="minorHAnsi" w:hAnsiTheme="minorHAnsi" w:cstheme="minorHAnsi"/>
          <w:b/>
          <w:sz w:val="22"/>
          <w:szCs w:val="22"/>
          <w:u w:val="single"/>
        </w:rPr>
      </w:pPr>
      <w:r w:rsidRPr="00A64C66">
        <w:rPr>
          <w:rFonts w:asciiTheme="minorHAnsi" w:hAnsiTheme="minorHAnsi" w:cstheme="minorHAnsi"/>
          <w:b/>
          <w:sz w:val="22"/>
          <w:szCs w:val="22"/>
          <w:u w:val="single"/>
        </w:rPr>
        <w:t>CLAUSULA DÉCIMA: DA FISCALIZAÇÃO</w:t>
      </w: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fiscalização sobre a execução das contratações </w:t>
      </w:r>
      <w:proofErr w:type="gramStart"/>
      <w:r w:rsidRPr="00A64C66">
        <w:rPr>
          <w:rFonts w:asciiTheme="minorHAnsi" w:hAnsiTheme="minorHAnsi" w:cstheme="minorHAnsi"/>
          <w:sz w:val="22"/>
          <w:szCs w:val="22"/>
        </w:rPr>
        <w:t>da presente</w:t>
      </w:r>
      <w:proofErr w:type="gramEnd"/>
      <w:r w:rsidRPr="00A64C66">
        <w:rPr>
          <w:rFonts w:asciiTheme="minorHAnsi" w:hAnsiTheme="minorHAnsi" w:cstheme="minorHAnsi"/>
          <w:sz w:val="22"/>
          <w:szCs w:val="22"/>
        </w:rPr>
        <w:t xml:space="preserve"> licitação será exercida pelos responsáveis da Secretaria Solicitante.</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fiscalização terá poderes para: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Recusar produtos que não obedeçam às especificações, com o disposto no edital do Pregão Presencial;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b) Transmitir a CONTRATADA as determinações e instruções da Secretaria Solicitante;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c) Examinar os documentos referentes à regularidade da CONTRATADA para com a Previdência Social; FGTS; ISS, Justiça Trabalhista e outros decorrentes que se fizerem necessários;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d) Praticar quaisquer atos, nos limites do contrato, que se destinem a preservar todo e qualquer direito do Município.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As determinações referentes às prioridades de entrega dos materiais produtos e/ou equipamentos; controle de qualidade; bem como a solução de casos concernentes a esses assuntos, ficarão a cargo da fiscalização.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A ação da fiscalização não diminui a completa responsabilidade da CONTRATADA pelo fornecimento dos bens, ora licitados.</w:t>
      </w: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pStyle w:val="NormalWeb"/>
        <w:spacing w:before="0" w:beforeAutospacing="0" w:after="0" w:afterAutospacing="0"/>
        <w:jc w:val="both"/>
        <w:rPr>
          <w:rStyle w:val="Forte"/>
          <w:rFonts w:asciiTheme="minorHAnsi" w:hAnsiTheme="minorHAnsi" w:cstheme="minorHAnsi"/>
          <w:sz w:val="22"/>
          <w:szCs w:val="22"/>
          <w:u w:val="single"/>
        </w:rPr>
      </w:pPr>
      <w:r w:rsidRPr="00A64C66">
        <w:rPr>
          <w:rFonts w:asciiTheme="minorHAnsi" w:hAnsiTheme="minorHAnsi" w:cstheme="minorHAnsi"/>
          <w:b/>
          <w:sz w:val="22"/>
          <w:szCs w:val="22"/>
          <w:u w:val="single"/>
        </w:rPr>
        <w:t xml:space="preserve">CLÁUSULA DÉCIMA PRIMEIRA - </w:t>
      </w:r>
      <w:r w:rsidRPr="00A64C66">
        <w:rPr>
          <w:rStyle w:val="Forte"/>
          <w:rFonts w:asciiTheme="minorHAnsi" w:hAnsiTheme="minorHAnsi" w:cstheme="minorHAnsi"/>
          <w:sz w:val="22"/>
          <w:szCs w:val="22"/>
          <w:u w:val="single"/>
        </w:rPr>
        <w:t>DA FRAUDE E DA CORRUPÇÃO</w:t>
      </w:r>
    </w:p>
    <w:p w:rsidR="0095203B" w:rsidRPr="00A64C66" w:rsidRDefault="0095203B" w:rsidP="0095203B">
      <w:pPr>
        <w:pStyle w:val="NormalWeb"/>
        <w:spacing w:before="0" w:beforeAutospacing="0" w:after="0" w:afterAutospacing="0"/>
        <w:jc w:val="both"/>
        <w:rPr>
          <w:rFonts w:asciiTheme="minorHAnsi" w:hAnsiTheme="minorHAnsi" w:cstheme="minorHAnsi"/>
          <w:sz w:val="22"/>
          <w:szCs w:val="22"/>
        </w:rPr>
      </w:pPr>
      <w:r w:rsidRPr="00A64C66">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Para os propósitos desta cláusula definem-se as seguintes práticas:</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b) “prática fraudulenta”: a falsificação ou omissão dos fatos, com o objetivo de influenciar o processo de licitação ou de execução de contrato;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c) “prática </w:t>
      </w:r>
      <w:proofErr w:type="spellStart"/>
      <w:r w:rsidRPr="00A64C66">
        <w:rPr>
          <w:rFonts w:asciiTheme="minorHAnsi" w:hAnsiTheme="minorHAnsi" w:cstheme="minorHAnsi"/>
          <w:sz w:val="22"/>
          <w:szCs w:val="22"/>
        </w:rPr>
        <w:t>colusiva</w:t>
      </w:r>
      <w:proofErr w:type="spellEnd"/>
      <w:r w:rsidRPr="00A64C66">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A64C66">
        <w:rPr>
          <w:rFonts w:asciiTheme="minorHAnsi" w:hAnsiTheme="minorHAnsi" w:cstheme="minorHAnsi"/>
          <w:sz w:val="22"/>
          <w:szCs w:val="22"/>
        </w:rPr>
        <w:t>não-competitivos</w:t>
      </w:r>
      <w:proofErr w:type="gramEnd"/>
      <w:r w:rsidRPr="00A64C66">
        <w:rPr>
          <w:rFonts w:asciiTheme="minorHAnsi" w:hAnsiTheme="minorHAnsi" w:cstheme="minorHAnsi"/>
          <w:sz w:val="22"/>
          <w:szCs w:val="22"/>
        </w:rPr>
        <w:t>;</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64C66">
        <w:rPr>
          <w:rFonts w:asciiTheme="minorHAnsi" w:hAnsiTheme="minorHAnsi" w:cstheme="minorHAnsi"/>
          <w:sz w:val="22"/>
          <w:szCs w:val="22"/>
        </w:rPr>
        <w:t>ii</w:t>
      </w:r>
      <w:proofErr w:type="spellEnd"/>
      <w:proofErr w:type="gramEnd"/>
      <w:r w:rsidRPr="00A64C66">
        <w:rPr>
          <w:rFonts w:asciiTheme="minorHAnsi" w:hAnsiTheme="minorHAnsi" w:cstheme="minorHAnsi"/>
          <w:sz w:val="22"/>
          <w:szCs w:val="22"/>
        </w:rPr>
        <w:t>) atos cuja intenção seja impedir materialmente o exercício do direito de o organismo financeiro multilateral promover inspeção.</w:t>
      </w:r>
    </w:p>
    <w:p w:rsidR="0095203B" w:rsidRPr="00A64C66" w:rsidRDefault="0095203B" w:rsidP="0095203B">
      <w:pPr>
        <w:spacing w:after="0" w:line="285" w:lineRule="atLeast"/>
        <w:jc w:val="both"/>
        <w:rPr>
          <w:rFonts w:cstheme="minorHAnsi"/>
        </w:rPr>
      </w:pPr>
      <w:r w:rsidRPr="00A64C66">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64C66">
        <w:rPr>
          <w:rFonts w:cstheme="minorHAnsi"/>
        </w:rPr>
        <w:t>colusivas</w:t>
      </w:r>
      <w:proofErr w:type="spellEnd"/>
      <w:r w:rsidRPr="00A64C66">
        <w:rPr>
          <w:rFonts w:cstheme="minorHAnsi"/>
        </w:rPr>
        <w:t xml:space="preserve">, </w:t>
      </w:r>
      <w:r w:rsidRPr="00A64C66">
        <w:rPr>
          <w:rFonts w:cstheme="minorHAnsi"/>
        </w:rPr>
        <w:lastRenderedPageBreak/>
        <w:t>coercitivas ou obstrutivas ao participar da licitação ou da execução um contrato financiado pelo organismo. </w:t>
      </w:r>
    </w:p>
    <w:p w:rsidR="0095203B" w:rsidRPr="00A64C66" w:rsidRDefault="0095203B" w:rsidP="0095203B">
      <w:pPr>
        <w:spacing w:after="0" w:line="285" w:lineRule="atLeast"/>
        <w:jc w:val="both"/>
        <w:rPr>
          <w:rFonts w:cstheme="minorHAnsi"/>
        </w:rPr>
      </w:pPr>
      <w:r w:rsidRPr="00A64C66">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5203B" w:rsidRPr="00A64C66" w:rsidRDefault="0095203B" w:rsidP="0095203B">
      <w:pPr>
        <w:spacing w:before="100" w:beforeAutospacing="1" w:after="100" w:afterAutospacing="1"/>
        <w:jc w:val="both"/>
        <w:rPr>
          <w:rFonts w:cstheme="minorHAnsi"/>
          <w:u w:val="single"/>
        </w:rPr>
      </w:pPr>
      <w:r w:rsidRPr="00A64C66">
        <w:rPr>
          <w:rFonts w:cstheme="minorHAnsi"/>
          <w:b/>
          <w:bCs/>
          <w:u w:val="single"/>
        </w:rPr>
        <w:t>CLÁUSULA DÉCIMA SEGUNDA – DAS PENALIDADES</w:t>
      </w:r>
      <w:r w:rsidRPr="00A64C66">
        <w:rPr>
          <w:rFonts w:cstheme="minorHAnsi"/>
          <w:u w:val="single"/>
        </w:rPr>
        <w:t>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bCs/>
          <w:sz w:val="22"/>
          <w:szCs w:val="22"/>
        </w:rPr>
        <w:t>A recusa no fornecimento do objeto, sem motivo justificado e aceito pela Administração, constitui-se em falta grave</w:t>
      </w:r>
      <w:r w:rsidRPr="00A64C66">
        <w:rPr>
          <w:rFonts w:asciiTheme="minorHAnsi" w:hAnsiTheme="minorHAnsi" w:cstheme="minorHAnsi"/>
          <w:sz w:val="22"/>
          <w:szCs w:val="22"/>
        </w:rPr>
        <w:t xml:space="preserve">, sujeitando a </w:t>
      </w:r>
      <w:r w:rsidRPr="00A64C66">
        <w:rPr>
          <w:rFonts w:asciiTheme="minorHAnsi" w:hAnsiTheme="minorHAnsi" w:cstheme="minorHAnsi"/>
          <w:b/>
          <w:sz w:val="22"/>
          <w:szCs w:val="22"/>
        </w:rPr>
        <w:t>CONTRATADA,</w:t>
      </w:r>
      <w:r w:rsidRPr="00A64C66">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5203B" w:rsidRPr="00A64C66" w:rsidRDefault="0095203B" w:rsidP="0095203B">
      <w:pPr>
        <w:pStyle w:val="SemEspaamento"/>
        <w:jc w:val="both"/>
        <w:rPr>
          <w:rFonts w:asciiTheme="minorHAnsi" w:hAnsiTheme="minorHAnsi" w:cstheme="minorHAnsi"/>
          <w:sz w:val="22"/>
          <w:szCs w:val="22"/>
        </w:rPr>
      </w:pPr>
      <w:proofErr w:type="gramStart"/>
      <w:r w:rsidRPr="00A64C66">
        <w:rPr>
          <w:rFonts w:asciiTheme="minorHAnsi" w:hAnsiTheme="minorHAnsi" w:cstheme="minorHAnsi"/>
          <w:sz w:val="22"/>
          <w:szCs w:val="22"/>
        </w:rPr>
        <w:t>a</w:t>
      </w:r>
      <w:proofErr w:type="gramEnd"/>
      <w:r w:rsidRPr="00A64C66">
        <w:rPr>
          <w:rFonts w:asciiTheme="minorHAnsi" w:hAnsiTheme="minorHAnsi" w:cstheme="minorHAnsi"/>
          <w:sz w:val="22"/>
          <w:szCs w:val="22"/>
        </w:rPr>
        <w:t>) </w:t>
      </w:r>
      <w:r w:rsidRPr="00A64C66">
        <w:rPr>
          <w:rFonts w:asciiTheme="minorHAnsi" w:hAnsiTheme="minorHAnsi" w:cstheme="minorHAnsi"/>
          <w:bCs/>
          <w:sz w:val="22"/>
          <w:szCs w:val="22"/>
        </w:rPr>
        <w:t xml:space="preserve">multa de 25 % sobre o valor total da ata </w:t>
      </w:r>
      <w:r w:rsidRPr="00A64C66">
        <w:rPr>
          <w:rFonts w:asciiTheme="minorHAnsi" w:hAnsiTheme="minorHAnsi" w:cstheme="minorHAnsi"/>
          <w:sz w:val="22"/>
          <w:szCs w:val="22"/>
        </w:rPr>
        <w:t>que, em caso de não pagamento, será encaminhada para a dívida ativa do Município, visando a sua execução;</w:t>
      </w:r>
    </w:p>
    <w:p w:rsidR="0095203B" w:rsidRPr="00A64C66" w:rsidRDefault="0095203B" w:rsidP="0095203B">
      <w:pPr>
        <w:pStyle w:val="SemEspaamento"/>
        <w:jc w:val="both"/>
        <w:rPr>
          <w:rFonts w:asciiTheme="minorHAnsi" w:hAnsiTheme="minorHAnsi" w:cstheme="minorHAnsi"/>
          <w:sz w:val="22"/>
          <w:szCs w:val="22"/>
        </w:rPr>
      </w:pPr>
      <w:proofErr w:type="gramStart"/>
      <w:r w:rsidRPr="00A64C66">
        <w:rPr>
          <w:rFonts w:asciiTheme="minorHAnsi" w:hAnsiTheme="minorHAnsi" w:cstheme="minorHAnsi"/>
          <w:sz w:val="22"/>
          <w:szCs w:val="22"/>
        </w:rPr>
        <w:t>b)</w:t>
      </w:r>
      <w:proofErr w:type="gramEnd"/>
      <w:r w:rsidRPr="00A64C66">
        <w:rPr>
          <w:rFonts w:asciiTheme="minorHAnsi" w:hAnsiTheme="minorHAnsi" w:cstheme="minorHAnsi"/>
          <w:sz w:val="22"/>
          <w:szCs w:val="22"/>
        </w:rPr>
        <w:t>  Emissão e Publicação de Declaração de Inidoneidade em veículo de imprensa regional, estadual e nacional.</w:t>
      </w:r>
    </w:p>
    <w:p w:rsidR="0095203B" w:rsidRPr="00A64C66" w:rsidRDefault="0095203B" w:rsidP="0095203B">
      <w:pPr>
        <w:pStyle w:val="NormalWeb"/>
        <w:rPr>
          <w:rFonts w:asciiTheme="minorHAnsi" w:hAnsiTheme="minorHAnsi" w:cstheme="minorHAnsi"/>
          <w:sz w:val="22"/>
          <w:szCs w:val="22"/>
          <w:u w:val="single"/>
        </w:rPr>
      </w:pPr>
      <w:r w:rsidRPr="00A64C66">
        <w:rPr>
          <w:rFonts w:asciiTheme="minorHAnsi" w:hAnsiTheme="minorHAnsi" w:cstheme="minorHAnsi"/>
          <w:b/>
          <w:bCs/>
          <w:sz w:val="22"/>
          <w:szCs w:val="22"/>
          <w:u w:val="single"/>
        </w:rPr>
        <w:t>CLÁUSULA DÉCIMA TERCEIRA – DA RENÚNCIA E DA RESCISÃO</w:t>
      </w:r>
      <w:r w:rsidRPr="00A64C66">
        <w:rPr>
          <w:rFonts w:asciiTheme="minorHAnsi" w:hAnsiTheme="minorHAnsi" w:cstheme="minorHAnsi"/>
          <w:sz w:val="22"/>
          <w:szCs w:val="22"/>
          <w:u w:val="single"/>
        </w:rPr>
        <w:t>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A64C66">
        <w:rPr>
          <w:rFonts w:asciiTheme="minorHAnsi" w:hAnsiTheme="minorHAnsi" w:cstheme="minorHAnsi"/>
          <w:sz w:val="22"/>
          <w:szCs w:val="22"/>
        </w:rPr>
        <w:t>8</w:t>
      </w:r>
      <w:proofErr w:type="gramEnd"/>
      <w:r w:rsidRPr="00A64C66">
        <w:rPr>
          <w:rFonts w:asciiTheme="minorHAnsi" w:hAnsiTheme="minorHAnsi" w:cstheme="minorHAnsi"/>
          <w:sz w:val="22"/>
          <w:szCs w:val="22"/>
        </w:rPr>
        <w:t xml:space="preserve"> 666/93.</w:t>
      </w:r>
    </w:p>
    <w:p w:rsidR="0095203B" w:rsidRPr="00A64C66" w:rsidRDefault="0095203B" w:rsidP="0095203B">
      <w:pPr>
        <w:pStyle w:val="SemEspaamento"/>
        <w:jc w:val="both"/>
        <w:rPr>
          <w:rFonts w:asciiTheme="minorHAnsi" w:hAnsiTheme="minorHAnsi" w:cstheme="minorHAnsi"/>
          <w:sz w:val="22"/>
          <w:szCs w:val="22"/>
        </w:rPr>
      </w:pPr>
      <w:proofErr w:type="gramStart"/>
      <w:r w:rsidRPr="00A64C66">
        <w:rPr>
          <w:rFonts w:asciiTheme="minorHAnsi" w:hAnsiTheme="minorHAnsi" w:cstheme="minorHAnsi"/>
          <w:sz w:val="22"/>
          <w:szCs w:val="22"/>
        </w:rPr>
        <w:t>A presente</w:t>
      </w:r>
      <w:proofErr w:type="gramEnd"/>
      <w:r w:rsidRPr="00A64C66">
        <w:rPr>
          <w:rFonts w:asciiTheme="minorHAnsi" w:hAnsiTheme="minorHAnsi" w:cstheme="minorHAnsi"/>
          <w:sz w:val="22"/>
          <w:szCs w:val="22"/>
        </w:rPr>
        <w:t xml:space="preserve"> Ata também poderá ser rescindida unilateralmente pela Administração, nos casos enumerados nos incisos I a XII e XVII do art. 78 da Lei n. 8.666/93.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Em caso de rescisão administrativa ou amigável deverá haver autorização prévia e fundamentada da autoridade competente da administração. </w:t>
      </w:r>
    </w:p>
    <w:p w:rsidR="0095203B" w:rsidRPr="00A64C66" w:rsidRDefault="0095203B" w:rsidP="0095203B">
      <w:pPr>
        <w:pStyle w:val="NormalWeb"/>
        <w:rPr>
          <w:rFonts w:asciiTheme="minorHAnsi" w:hAnsiTheme="minorHAnsi" w:cstheme="minorHAnsi"/>
          <w:sz w:val="22"/>
          <w:szCs w:val="22"/>
          <w:u w:val="single"/>
        </w:rPr>
      </w:pPr>
      <w:r w:rsidRPr="00A64C66">
        <w:rPr>
          <w:rFonts w:asciiTheme="minorHAnsi" w:hAnsiTheme="minorHAnsi" w:cstheme="minorHAnsi"/>
          <w:b/>
          <w:bCs/>
          <w:sz w:val="22"/>
          <w:szCs w:val="22"/>
          <w:u w:val="single"/>
        </w:rPr>
        <w:t>CLÁUSULA DÉCIMA QUARTA – DA PUBLICAÇÃO</w:t>
      </w:r>
      <w:r w:rsidRPr="00A64C66">
        <w:rPr>
          <w:rFonts w:asciiTheme="minorHAnsi" w:hAnsiTheme="minorHAnsi" w:cstheme="minorHAnsi"/>
          <w:sz w:val="22"/>
          <w:szCs w:val="22"/>
          <w:u w:val="single"/>
        </w:rPr>
        <w:t> </w:t>
      </w:r>
    </w:p>
    <w:p w:rsidR="0095203B" w:rsidRPr="00A64C66" w:rsidRDefault="0095203B" w:rsidP="0095203B">
      <w:pPr>
        <w:pStyle w:val="NormalWeb"/>
        <w:jc w:val="both"/>
        <w:rPr>
          <w:rFonts w:asciiTheme="minorHAnsi" w:hAnsiTheme="minorHAnsi" w:cstheme="minorHAnsi"/>
          <w:sz w:val="22"/>
          <w:szCs w:val="22"/>
        </w:rPr>
      </w:pPr>
      <w:r w:rsidRPr="00A64C66">
        <w:rPr>
          <w:rFonts w:asciiTheme="minorHAnsi" w:hAnsiTheme="minorHAnsi" w:cstheme="minorHAnsi"/>
          <w:sz w:val="22"/>
          <w:szCs w:val="22"/>
        </w:rPr>
        <w:t xml:space="preserve">Para eficácia do presente instrumento, o </w:t>
      </w:r>
      <w:r w:rsidRPr="00A64C66">
        <w:rPr>
          <w:rFonts w:asciiTheme="minorHAnsi" w:hAnsiTheme="minorHAnsi" w:cstheme="minorHAnsi"/>
          <w:b/>
          <w:sz w:val="22"/>
          <w:szCs w:val="22"/>
        </w:rPr>
        <w:t>CONTRATANTE</w:t>
      </w:r>
      <w:r w:rsidRPr="00A64C66">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95203B" w:rsidRPr="00A64C66" w:rsidRDefault="0095203B" w:rsidP="0095203B">
      <w:pPr>
        <w:pStyle w:val="NormalWeb"/>
        <w:rPr>
          <w:rFonts w:asciiTheme="minorHAnsi" w:hAnsiTheme="minorHAnsi" w:cstheme="minorHAnsi"/>
          <w:sz w:val="22"/>
          <w:szCs w:val="22"/>
          <w:u w:val="single"/>
        </w:rPr>
      </w:pPr>
      <w:r w:rsidRPr="00A64C66">
        <w:rPr>
          <w:rFonts w:asciiTheme="minorHAnsi" w:hAnsiTheme="minorHAnsi" w:cstheme="minorHAnsi"/>
          <w:b/>
          <w:bCs/>
          <w:sz w:val="22"/>
          <w:szCs w:val="22"/>
          <w:u w:val="single"/>
        </w:rPr>
        <w:t xml:space="preserve">CLÁUSULA DÉCIMA QUINTA – DOS DOCUMENTOS INTEGRANTES </w:t>
      </w:r>
    </w:p>
    <w:p w:rsidR="0095203B" w:rsidRPr="00A64C66" w:rsidRDefault="0095203B" w:rsidP="0095203B">
      <w:pPr>
        <w:spacing w:before="100" w:beforeAutospacing="1" w:after="100" w:afterAutospacing="1"/>
        <w:jc w:val="both"/>
        <w:rPr>
          <w:rFonts w:cstheme="minorHAnsi"/>
        </w:rPr>
      </w:pPr>
      <w:r w:rsidRPr="00A64C66">
        <w:rPr>
          <w:rFonts w:cstheme="minorHAnsi"/>
        </w:rPr>
        <w:t>Independentemente de transcrição, farão parte integrante deste instrumento de Ata Registro de Preços o Edital de Licitação - Modalidade Pregão Presencial nº 05</w:t>
      </w:r>
      <w:r w:rsidR="00A64C66" w:rsidRPr="00A64C66">
        <w:rPr>
          <w:rFonts w:cstheme="minorHAnsi"/>
        </w:rPr>
        <w:t>1</w:t>
      </w:r>
      <w:r w:rsidRPr="00A64C66">
        <w:rPr>
          <w:rFonts w:cstheme="minorHAnsi"/>
        </w:rPr>
        <w:t xml:space="preserve">/2019, e a proposta final e adjudicada da </w:t>
      </w:r>
      <w:r w:rsidRPr="00A64C66">
        <w:rPr>
          <w:rFonts w:cstheme="minorHAnsi"/>
          <w:b/>
          <w:bCs/>
        </w:rPr>
        <w:t>CONTRATADA</w:t>
      </w:r>
      <w:r w:rsidRPr="00A64C66">
        <w:rPr>
          <w:rFonts w:cstheme="minorHAnsi"/>
        </w:rPr>
        <w:t>.</w:t>
      </w:r>
    </w:p>
    <w:p w:rsidR="0095203B" w:rsidRPr="00A64C66" w:rsidRDefault="0095203B" w:rsidP="0095203B">
      <w:pPr>
        <w:pStyle w:val="NormalWeb"/>
        <w:rPr>
          <w:rFonts w:asciiTheme="minorHAnsi" w:hAnsiTheme="minorHAnsi" w:cstheme="minorHAnsi"/>
          <w:sz w:val="22"/>
          <w:szCs w:val="22"/>
          <w:u w:val="single"/>
        </w:rPr>
      </w:pPr>
      <w:r w:rsidRPr="00A64C66">
        <w:rPr>
          <w:rFonts w:asciiTheme="minorHAnsi" w:hAnsiTheme="minorHAnsi" w:cstheme="minorHAnsi"/>
          <w:b/>
          <w:bCs/>
          <w:sz w:val="22"/>
          <w:szCs w:val="22"/>
          <w:u w:val="single"/>
        </w:rPr>
        <w:t>CLÁUSULA DÉCIMA SEXTA – DAS DISPOSIÇÕES FINAIS</w:t>
      </w:r>
    </w:p>
    <w:p w:rsidR="0095203B" w:rsidRPr="00A64C66" w:rsidRDefault="0095203B" w:rsidP="0095203B">
      <w:pPr>
        <w:pStyle w:val="NormalWeb"/>
        <w:jc w:val="both"/>
        <w:rPr>
          <w:rFonts w:asciiTheme="minorHAnsi" w:hAnsiTheme="minorHAnsi" w:cstheme="minorHAnsi"/>
          <w:sz w:val="22"/>
          <w:szCs w:val="22"/>
        </w:rPr>
      </w:pPr>
      <w:r w:rsidRPr="00A64C66">
        <w:rPr>
          <w:rFonts w:asciiTheme="minorHAnsi" w:hAnsiTheme="minorHAnsi" w:cstheme="minorHAnsi"/>
          <w:sz w:val="22"/>
          <w:szCs w:val="22"/>
        </w:rPr>
        <w:t xml:space="preserve">A </w:t>
      </w:r>
      <w:r w:rsidRPr="00A64C66">
        <w:rPr>
          <w:rFonts w:asciiTheme="minorHAnsi" w:hAnsiTheme="minorHAnsi" w:cstheme="minorHAnsi"/>
          <w:b/>
          <w:sz w:val="22"/>
          <w:szCs w:val="22"/>
        </w:rPr>
        <w:t>CONTRATADA</w:t>
      </w:r>
      <w:r w:rsidRPr="00A64C66">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w:t>
      </w:r>
      <w:r w:rsidRPr="00A64C66">
        <w:rPr>
          <w:rFonts w:asciiTheme="minorHAnsi" w:hAnsiTheme="minorHAnsi" w:cstheme="minorHAnsi"/>
          <w:sz w:val="22"/>
          <w:szCs w:val="22"/>
        </w:rPr>
        <w:lastRenderedPageBreak/>
        <w:t>qualificação exigidas na licitação, bem como as normas previstas na Lei 8666/93 e legislação complementar, durante a vigência deste instrumento. </w:t>
      </w:r>
    </w:p>
    <w:p w:rsidR="0095203B" w:rsidRPr="00A64C66" w:rsidRDefault="0095203B" w:rsidP="0095203B">
      <w:pPr>
        <w:pStyle w:val="NormalWeb"/>
        <w:rPr>
          <w:rFonts w:asciiTheme="minorHAnsi" w:hAnsiTheme="minorHAnsi" w:cstheme="minorHAnsi"/>
          <w:sz w:val="22"/>
          <w:szCs w:val="22"/>
          <w:u w:val="single"/>
        </w:rPr>
      </w:pPr>
      <w:r w:rsidRPr="00A64C66">
        <w:rPr>
          <w:rFonts w:asciiTheme="minorHAnsi" w:hAnsiTheme="minorHAnsi" w:cstheme="minorHAnsi"/>
          <w:b/>
          <w:bCs/>
          <w:sz w:val="22"/>
          <w:szCs w:val="22"/>
          <w:u w:val="single"/>
        </w:rPr>
        <w:t>CLÁUSULA DÉCIMA SÉTIMA – DO FORO</w:t>
      </w:r>
      <w:r w:rsidRPr="00A64C66">
        <w:rPr>
          <w:rFonts w:asciiTheme="minorHAnsi" w:hAnsiTheme="minorHAnsi" w:cstheme="minorHAnsi"/>
          <w:sz w:val="22"/>
          <w:szCs w:val="22"/>
          <w:u w:val="single"/>
        </w:rPr>
        <w:t> </w:t>
      </w:r>
    </w:p>
    <w:p w:rsidR="0095203B" w:rsidRPr="00A64C66" w:rsidRDefault="0095203B" w:rsidP="0095203B">
      <w:pPr>
        <w:pStyle w:val="NormalWeb"/>
        <w:jc w:val="both"/>
        <w:rPr>
          <w:rFonts w:asciiTheme="minorHAnsi" w:hAnsiTheme="minorHAnsi" w:cstheme="minorHAnsi"/>
          <w:sz w:val="22"/>
          <w:szCs w:val="22"/>
        </w:rPr>
      </w:pPr>
      <w:r w:rsidRPr="00A64C66">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w:t>
      </w:r>
      <w:proofErr w:type="gramStart"/>
      <w:r w:rsidRPr="00A64C66">
        <w:rPr>
          <w:rFonts w:asciiTheme="minorHAnsi" w:hAnsiTheme="minorHAnsi" w:cstheme="minorHAnsi"/>
          <w:sz w:val="22"/>
          <w:szCs w:val="22"/>
        </w:rPr>
        <w:t>a presente</w:t>
      </w:r>
      <w:proofErr w:type="gramEnd"/>
      <w:r w:rsidRPr="00A64C66">
        <w:rPr>
          <w:rFonts w:asciiTheme="minorHAnsi" w:hAnsiTheme="minorHAnsi" w:cstheme="minorHAnsi"/>
          <w:sz w:val="22"/>
          <w:szCs w:val="22"/>
        </w:rPr>
        <w:t xml:space="preserve"> Ata Registro de Preços em 02 (duas) vias de igual teor e forma para um só efeito legal, ficando pelo menos uma via arquivada na sede da </w:t>
      </w:r>
      <w:r w:rsidRPr="00A64C66">
        <w:rPr>
          <w:rFonts w:asciiTheme="minorHAnsi" w:hAnsiTheme="minorHAnsi" w:cstheme="minorHAnsi"/>
          <w:b/>
          <w:bCs/>
          <w:sz w:val="22"/>
          <w:szCs w:val="22"/>
        </w:rPr>
        <w:t>CONTRATANTE</w:t>
      </w:r>
      <w:r w:rsidRPr="00A64C66">
        <w:rPr>
          <w:rFonts w:asciiTheme="minorHAnsi" w:hAnsiTheme="minorHAnsi" w:cstheme="minorHAnsi"/>
          <w:sz w:val="22"/>
          <w:szCs w:val="22"/>
        </w:rPr>
        <w:t>, na forma do art. 60 da Lei 8.666 de 21/06/1993. </w:t>
      </w:r>
    </w:p>
    <w:p w:rsidR="0095203B" w:rsidRPr="00A64C66" w:rsidRDefault="0095203B" w:rsidP="0095203B">
      <w:pPr>
        <w:pStyle w:val="SemEspaamento"/>
        <w:jc w:val="both"/>
        <w:rPr>
          <w:rFonts w:asciiTheme="minorHAnsi" w:hAnsiTheme="minorHAnsi" w:cstheme="minorHAnsi"/>
          <w:sz w:val="22"/>
          <w:szCs w:val="22"/>
        </w:rPr>
      </w:pPr>
      <w:r w:rsidRPr="00A64C66">
        <w:rPr>
          <w:rFonts w:asciiTheme="minorHAnsi" w:hAnsiTheme="minorHAnsi" w:cstheme="minorHAnsi"/>
          <w:sz w:val="22"/>
          <w:szCs w:val="22"/>
        </w:rPr>
        <w:t>Ribeirão do Pinhal, 0</w:t>
      </w:r>
      <w:r w:rsidR="00A64C66" w:rsidRPr="00A64C66">
        <w:rPr>
          <w:rFonts w:asciiTheme="minorHAnsi" w:hAnsiTheme="minorHAnsi" w:cstheme="minorHAnsi"/>
          <w:sz w:val="22"/>
          <w:szCs w:val="22"/>
        </w:rPr>
        <w:t>8</w:t>
      </w:r>
      <w:r w:rsidRPr="00A64C66">
        <w:rPr>
          <w:rFonts w:asciiTheme="minorHAnsi" w:hAnsiTheme="minorHAnsi" w:cstheme="minorHAnsi"/>
          <w:sz w:val="22"/>
          <w:szCs w:val="22"/>
        </w:rPr>
        <w:t xml:space="preserve"> de novembro de 2019.</w:t>
      </w: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WAGNER LUIZ DE OLIVEIRA MARTINS</w:t>
      </w:r>
      <w:r w:rsidRPr="00A64C66">
        <w:rPr>
          <w:rFonts w:asciiTheme="minorHAnsi" w:hAnsiTheme="minorHAnsi" w:cstheme="minorHAnsi"/>
          <w:sz w:val="22"/>
          <w:szCs w:val="22"/>
        </w:rPr>
        <w:tab/>
      </w:r>
      <w:r w:rsidRPr="00A64C66">
        <w:rPr>
          <w:rFonts w:asciiTheme="minorHAnsi" w:hAnsiTheme="minorHAnsi" w:cstheme="minorHAnsi"/>
          <w:sz w:val="22"/>
          <w:szCs w:val="22"/>
        </w:rPr>
        <w:tab/>
      </w:r>
      <w:r w:rsidRPr="00A64C66">
        <w:rPr>
          <w:rFonts w:asciiTheme="minorHAnsi" w:hAnsiTheme="minorHAnsi" w:cstheme="minorHAnsi"/>
          <w:sz w:val="22"/>
          <w:szCs w:val="22"/>
        </w:rPr>
        <w:tab/>
      </w:r>
      <w:r w:rsidR="00A64C66" w:rsidRPr="00A64C66">
        <w:rPr>
          <w:rFonts w:asciiTheme="minorHAnsi" w:hAnsiTheme="minorHAnsi" w:cstheme="minorHAnsi"/>
          <w:sz w:val="22"/>
          <w:szCs w:val="22"/>
        </w:rPr>
        <w:t>JOSÉ MÁRCIO CARREGA</w:t>
      </w:r>
    </w:p>
    <w:p w:rsidR="0095203B" w:rsidRPr="00A64C66"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PREFEITO MUNICIPAL</w:t>
      </w:r>
      <w:r w:rsidRPr="00A64C66">
        <w:rPr>
          <w:rFonts w:asciiTheme="minorHAnsi" w:hAnsiTheme="minorHAnsi" w:cstheme="minorHAnsi"/>
          <w:sz w:val="22"/>
          <w:szCs w:val="22"/>
        </w:rPr>
        <w:tab/>
      </w:r>
      <w:r w:rsidRPr="00A64C66">
        <w:rPr>
          <w:rFonts w:asciiTheme="minorHAnsi" w:hAnsiTheme="minorHAnsi" w:cstheme="minorHAnsi"/>
          <w:sz w:val="22"/>
          <w:szCs w:val="22"/>
        </w:rPr>
        <w:tab/>
      </w:r>
      <w:r w:rsidRPr="00A64C66">
        <w:rPr>
          <w:rFonts w:asciiTheme="minorHAnsi" w:hAnsiTheme="minorHAnsi" w:cstheme="minorHAnsi"/>
          <w:sz w:val="22"/>
          <w:szCs w:val="22"/>
        </w:rPr>
        <w:tab/>
      </w:r>
      <w:r w:rsidRPr="00A64C66">
        <w:rPr>
          <w:rFonts w:asciiTheme="minorHAnsi" w:hAnsiTheme="minorHAnsi" w:cstheme="minorHAnsi"/>
          <w:sz w:val="22"/>
          <w:szCs w:val="22"/>
        </w:rPr>
        <w:tab/>
      </w:r>
      <w:r w:rsidRPr="00A64C66">
        <w:rPr>
          <w:rFonts w:asciiTheme="minorHAnsi" w:hAnsiTheme="minorHAnsi" w:cstheme="minorHAnsi"/>
          <w:sz w:val="22"/>
          <w:szCs w:val="22"/>
        </w:rPr>
        <w:tab/>
        <w:t xml:space="preserve">CPF: </w:t>
      </w:r>
      <w:r w:rsidR="00A64C66" w:rsidRPr="00A64C66">
        <w:rPr>
          <w:rFonts w:asciiTheme="minorHAnsi" w:hAnsiTheme="minorHAnsi" w:cstheme="minorHAnsi"/>
          <w:sz w:val="22"/>
          <w:szCs w:val="22"/>
        </w:rPr>
        <w:t>109.523.298-32</w:t>
      </w:r>
    </w:p>
    <w:p w:rsidR="0095203B" w:rsidRPr="00A64C66" w:rsidRDefault="0095203B" w:rsidP="0095203B">
      <w:pPr>
        <w:pStyle w:val="SemEspaamento"/>
        <w:rPr>
          <w:rFonts w:asciiTheme="minorHAnsi" w:hAnsiTheme="minorHAnsi" w:cstheme="minorHAnsi"/>
          <w:sz w:val="22"/>
          <w:szCs w:val="22"/>
        </w:rPr>
      </w:pPr>
    </w:p>
    <w:p w:rsidR="0095203B"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TESTEMUNHAS:</w:t>
      </w:r>
    </w:p>
    <w:p w:rsidR="00A64C66" w:rsidRPr="00A64C66" w:rsidRDefault="00A64C66" w:rsidP="0095203B">
      <w:pPr>
        <w:pStyle w:val="SemEspaamento"/>
        <w:rPr>
          <w:rFonts w:asciiTheme="minorHAnsi" w:hAnsiTheme="minorHAnsi" w:cstheme="minorHAnsi"/>
          <w:sz w:val="22"/>
          <w:szCs w:val="22"/>
        </w:rPr>
      </w:pPr>
    </w:p>
    <w:p w:rsidR="0095203B" w:rsidRPr="00A64C66" w:rsidRDefault="0095203B" w:rsidP="0095203B">
      <w:pPr>
        <w:pStyle w:val="SemEspaamento"/>
        <w:rPr>
          <w:rFonts w:asciiTheme="minorHAnsi" w:hAnsiTheme="minorHAnsi" w:cstheme="minorHAnsi"/>
          <w:sz w:val="22"/>
          <w:szCs w:val="22"/>
        </w:rPr>
      </w:pPr>
    </w:p>
    <w:p w:rsidR="0095203B" w:rsidRPr="00A64C66" w:rsidRDefault="0095203B" w:rsidP="0095203B">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95203B" w:rsidRPr="00A64C66" w:rsidTr="000B37F7">
        <w:tc>
          <w:tcPr>
            <w:tcW w:w="4606" w:type="dxa"/>
          </w:tcPr>
          <w:p w:rsidR="0095203B" w:rsidRPr="00A64C66" w:rsidRDefault="0095203B" w:rsidP="000B37F7">
            <w:pPr>
              <w:pStyle w:val="SemEspaamento"/>
              <w:rPr>
                <w:rFonts w:asciiTheme="minorHAnsi" w:hAnsiTheme="minorHAnsi" w:cstheme="minorHAnsi"/>
                <w:sz w:val="22"/>
                <w:szCs w:val="22"/>
              </w:rPr>
            </w:pPr>
            <w:r w:rsidRPr="00A64C66">
              <w:rPr>
                <w:rFonts w:asciiTheme="minorHAnsi" w:hAnsiTheme="minorHAnsi" w:cstheme="minorHAnsi"/>
                <w:sz w:val="22"/>
                <w:szCs w:val="22"/>
              </w:rPr>
              <w:t>FAYÇAL MELHEM CHAMMA JUNIOR</w:t>
            </w:r>
          </w:p>
          <w:p w:rsidR="0095203B" w:rsidRPr="00A64C66" w:rsidRDefault="0095203B" w:rsidP="000B37F7">
            <w:pPr>
              <w:pStyle w:val="SemEspaamento"/>
              <w:rPr>
                <w:rFonts w:asciiTheme="minorHAnsi" w:hAnsiTheme="minorHAnsi" w:cstheme="minorHAnsi"/>
                <w:sz w:val="22"/>
                <w:szCs w:val="22"/>
              </w:rPr>
            </w:pPr>
            <w:r w:rsidRPr="00A64C66">
              <w:rPr>
                <w:rFonts w:asciiTheme="minorHAnsi" w:hAnsiTheme="minorHAnsi" w:cstheme="minorHAnsi"/>
                <w:sz w:val="22"/>
                <w:szCs w:val="22"/>
              </w:rPr>
              <w:t>CPF/MF 033.182.809-09</w:t>
            </w:r>
          </w:p>
        </w:tc>
        <w:tc>
          <w:tcPr>
            <w:tcW w:w="4606" w:type="dxa"/>
          </w:tcPr>
          <w:p w:rsidR="0095203B" w:rsidRPr="00A64C66" w:rsidRDefault="0095203B" w:rsidP="000B37F7">
            <w:pPr>
              <w:pStyle w:val="SemEspaamento"/>
              <w:rPr>
                <w:rFonts w:asciiTheme="minorHAnsi" w:hAnsiTheme="minorHAnsi" w:cstheme="minorHAnsi"/>
                <w:sz w:val="22"/>
                <w:szCs w:val="22"/>
              </w:rPr>
            </w:pPr>
            <w:r w:rsidRPr="00A64C66">
              <w:rPr>
                <w:rFonts w:asciiTheme="minorHAnsi" w:hAnsiTheme="minorHAnsi" w:cstheme="minorHAnsi"/>
                <w:sz w:val="22"/>
                <w:szCs w:val="22"/>
              </w:rPr>
              <w:t xml:space="preserve">         SILAS MACEDO DE ARAUJO</w:t>
            </w:r>
          </w:p>
          <w:p w:rsidR="0095203B" w:rsidRPr="00A64C66" w:rsidRDefault="0095203B" w:rsidP="000B37F7">
            <w:pPr>
              <w:pStyle w:val="SemEspaamento"/>
              <w:rPr>
                <w:rFonts w:asciiTheme="minorHAnsi" w:hAnsiTheme="minorHAnsi" w:cstheme="minorHAnsi"/>
                <w:sz w:val="22"/>
                <w:szCs w:val="22"/>
              </w:rPr>
            </w:pPr>
            <w:r w:rsidRPr="00A64C66">
              <w:rPr>
                <w:rFonts w:asciiTheme="minorHAnsi" w:hAnsiTheme="minorHAnsi" w:cstheme="minorHAnsi"/>
                <w:sz w:val="22"/>
                <w:szCs w:val="22"/>
              </w:rPr>
              <w:t xml:space="preserve">          CPF/MF 045.711.409-67</w:t>
            </w:r>
          </w:p>
        </w:tc>
      </w:tr>
      <w:tr w:rsidR="0095203B" w:rsidRPr="00A64C66" w:rsidTr="000B37F7">
        <w:tc>
          <w:tcPr>
            <w:tcW w:w="4606" w:type="dxa"/>
          </w:tcPr>
          <w:p w:rsidR="0095203B" w:rsidRPr="00A64C66" w:rsidRDefault="0095203B" w:rsidP="000B37F7">
            <w:pPr>
              <w:pStyle w:val="SemEspaamento"/>
              <w:rPr>
                <w:rFonts w:asciiTheme="minorHAnsi" w:hAnsiTheme="minorHAnsi" w:cstheme="minorHAnsi"/>
                <w:sz w:val="22"/>
                <w:szCs w:val="22"/>
              </w:rPr>
            </w:pPr>
          </w:p>
        </w:tc>
        <w:tc>
          <w:tcPr>
            <w:tcW w:w="4606" w:type="dxa"/>
          </w:tcPr>
          <w:p w:rsidR="0095203B" w:rsidRPr="00A64C66" w:rsidRDefault="0095203B" w:rsidP="000B37F7">
            <w:pPr>
              <w:pStyle w:val="SemEspaamento"/>
              <w:rPr>
                <w:rFonts w:asciiTheme="minorHAnsi" w:hAnsiTheme="minorHAnsi" w:cstheme="minorHAnsi"/>
                <w:sz w:val="22"/>
                <w:szCs w:val="22"/>
              </w:rPr>
            </w:pPr>
          </w:p>
        </w:tc>
      </w:tr>
    </w:tbl>
    <w:p w:rsidR="0095203B" w:rsidRPr="00A64C66" w:rsidRDefault="0095203B" w:rsidP="0095203B">
      <w:pPr>
        <w:pStyle w:val="SemEspaamento"/>
        <w:rPr>
          <w:rFonts w:asciiTheme="minorHAnsi" w:hAnsiTheme="minorHAnsi" w:cstheme="minorHAnsi"/>
          <w:sz w:val="22"/>
          <w:szCs w:val="22"/>
        </w:rPr>
      </w:pPr>
    </w:p>
    <w:p w:rsidR="0095203B" w:rsidRPr="00A64C66" w:rsidRDefault="0095203B" w:rsidP="0095203B">
      <w:pPr>
        <w:pStyle w:val="SemEspaamento"/>
        <w:rPr>
          <w:rFonts w:asciiTheme="minorHAnsi" w:hAnsiTheme="minorHAnsi" w:cstheme="minorHAnsi"/>
          <w:sz w:val="22"/>
          <w:szCs w:val="22"/>
        </w:rPr>
      </w:pPr>
    </w:p>
    <w:p w:rsidR="0095203B" w:rsidRPr="00A64C66"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ALYSSON HENRIQUE VENÂNCIO DA ROCHA</w:t>
      </w:r>
    </w:p>
    <w:p w:rsidR="0095203B" w:rsidRPr="00A64C66"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OAB N.º 35546 - DPTO JURÍDICO</w:t>
      </w:r>
    </w:p>
    <w:p w:rsidR="0095203B" w:rsidRPr="00A64C66" w:rsidRDefault="0095203B" w:rsidP="0095203B">
      <w:pPr>
        <w:pStyle w:val="SemEspaamento"/>
        <w:jc w:val="both"/>
        <w:rPr>
          <w:rFonts w:asciiTheme="minorHAnsi" w:hAnsiTheme="minorHAnsi" w:cstheme="minorHAnsi"/>
          <w:sz w:val="22"/>
          <w:szCs w:val="22"/>
        </w:rPr>
      </w:pPr>
    </w:p>
    <w:p w:rsidR="0095203B" w:rsidRPr="00A64C66" w:rsidRDefault="0095203B" w:rsidP="0095203B">
      <w:pPr>
        <w:rPr>
          <w:rFonts w:cstheme="minorHAnsi"/>
        </w:rPr>
      </w:pPr>
    </w:p>
    <w:p w:rsidR="0095203B" w:rsidRPr="00A64C66"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VANDERLENE SILVEIRA DE REZENDE</w:t>
      </w:r>
    </w:p>
    <w:p w:rsidR="0095203B" w:rsidRPr="00A64C66"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CPF: 017.549.309-05</w:t>
      </w:r>
    </w:p>
    <w:p w:rsidR="0095203B" w:rsidRPr="00A64C66" w:rsidRDefault="0095203B" w:rsidP="0095203B">
      <w:pPr>
        <w:pStyle w:val="SemEspaamento"/>
        <w:rPr>
          <w:rFonts w:asciiTheme="minorHAnsi" w:hAnsiTheme="minorHAnsi" w:cstheme="minorHAnsi"/>
          <w:sz w:val="22"/>
          <w:szCs w:val="22"/>
        </w:rPr>
      </w:pPr>
      <w:r w:rsidRPr="00A64C66">
        <w:rPr>
          <w:rFonts w:asciiTheme="minorHAnsi" w:hAnsiTheme="minorHAnsi" w:cstheme="minorHAnsi"/>
          <w:sz w:val="22"/>
          <w:szCs w:val="22"/>
        </w:rPr>
        <w:t>FISCAL DO CONTRATO</w:t>
      </w:r>
    </w:p>
    <w:bookmarkEnd w:id="0"/>
    <w:p w:rsidR="00FE6FFD" w:rsidRPr="00A64C66" w:rsidRDefault="00FE6FFD">
      <w:pPr>
        <w:rPr>
          <w:rFonts w:cstheme="minorHAnsi"/>
        </w:rPr>
      </w:pPr>
    </w:p>
    <w:sectPr w:rsidR="00FE6FFD" w:rsidRPr="00A64C66" w:rsidSect="00237B0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A64C66">
    <w:pPr>
      <w:pStyle w:val="Rodap"/>
      <w:pBdr>
        <w:bottom w:val="single" w:sz="12" w:space="1" w:color="auto"/>
      </w:pBdr>
      <w:jc w:val="center"/>
      <w:rPr>
        <w:sz w:val="20"/>
      </w:rPr>
    </w:pPr>
  </w:p>
  <w:p w:rsidR="00237B01" w:rsidRPr="008B5900" w:rsidRDefault="00A64C6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A64C6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A64C6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FAAF27" wp14:editId="7E1E5DE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A64C66">
    <w:pPr>
      <w:pStyle w:val="Cabealho"/>
      <w:pBdr>
        <w:bottom w:val="single" w:sz="12" w:space="1" w:color="auto"/>
      </w:pBdr>
      <w:jc w:val="center"/>
      <w:rPr>
        <w:rFonts w:ascii="Century" w:hAnsi="Century"/>
        <w:i/>
        <w:sz w:val="32"/>
      </w:rPr>
    </w:pPr>
    <w:r>
      <w:rPr>
        <w:rFonts w:ascii="Century" w:hAnsi="Century"/>
        <w:i/>
        <w:sz w:val="32"/>
      </w:rPr>
      <w:t xml:space="preserve">- ESTADO DO </w:t>
    </w:r>
    <w:r>
      <w:rPr>
        <w:rFonts w:ascii="Century" w:hAnsi="Century"/>
        <w:i/>
        <w:sz w:val="32"/>
      </w:rPr>
      <w:t>PARANÁ -</w:t>
    </w:r>
  </w:p>
  <w:p w:rsidR="00237B01" w:rsidRDefault="00A64C6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82398"/>
    <w:multiLevelType w:val="hybridMultilevel"/>
    <w:tmpl w:val="3746FC06"/>
    <w:lvl w:ilvl="0" w:tplc="ED2E976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5C"/>
    <w:rsid w:val="00033E5C"/>
    <w:rsid w:val="004C0A30"/>
    <w:rsid w:val="0095203B"/>
    <w:rsid w:val="00A64C66"/>
    <w:rsid w:val="00FE6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3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520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5203B"/>
    <w:rPr>
      <w:rFonts w:ascii="Times New Roman" w:eastAsia="Times New Roman" w:hAnsi="Times New Roman" w:cs="Times New Roman"/>
      <w:sz w:val="24"/>
      <w:szCs w:val="24"/>
      <w:lang w:eastAsia="pt-BR"/>
    </w:rPr>
  </w:style>
  <w:style w:type="paragraph" w:styleId="Rodap">
    <w:name w:val="footer"/>
    <w:basedOn w:val="Normal"/>
    <w:link w:val="RodapChar"/>
    <w:rsid w:val="009520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5203B"/>
    <w:rPr>
      <w:rFonts w:ascii="Times New Roman" w:eastAsia="Times New Roman" w:hAnsi="Times New Roman" w:cs="Times New Roman"/>
      <w:sz w:val="24"/>
      <w:szCs w:val="24"/>
      <w:lang w:eastAsia="pt-BR"/>
    </w:rPr>
  </w:style>
  <w:style w:type="character" w:styleId="Hyperlink">
    <w:name w:val="Hyperlink"/>
    <w:basedOn w:val="Fontepargpadro"/>
    <w:uiPriority w:val="99"/>
    <w:rsid w:val="0095203B"/>
    <w:rPr>
      <w:color w:val="0000FF"/>
      <w:u w:val="single"/>
    </w:rPr>
  </w:style>
  <w:style w:type="paragraph" w:styleId="Ttulo">
    <w:name w:val="Title"/>
    <w:basedOn w:val="Normal"/>
    <w:link w:val="TtuloChar"/>
    <w:qFormat/>
    <w:rsid w:val="0095203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203B"/>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95203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203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203B"/>
    <w:rPr>
      <w:b/>
      <w:bCs/>
    </w:rPr>
  </w:style>
  <w:style w:type="paragraph" w:styleId="NormalWeb">
    <w:name w:val="Normal (Web)"/>
    <w:basedOn w:val="Normal"/>
    <w:uiPriority w:val="99"/>
    <w:rsid w:val="0095203B"/>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4C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3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520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5203B"/>
    <w:rPr>
      <w:rFonts w:ascii="Times New Roman" w:eastAsia="Times New Roman" w:hAnsi="Times New Roman" w:cs="Times New Roman"/>
      <w:sz w:val="24"/>
      <w:szCs w:val="24"/>
      <w:lang w:eastAsia="pt-BR"/>
    </w:rPr>
  </w:style>
  <w:style w:type="paragraph" w:styleId="Rodap">
    <w:name w:val="footer"/>
    <w:basedOn w:val="Normal"/>
    <w:link w:val="RodapChar"/>
    <w:rsid w:val="009520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5203B"/>
    <w:rPr>
      <w:rFonts w:ascii="Times New Roman" w:eastAsia="Times New Roman" w:hAnsi="Times New Roman" w:cs="Times New Roman"/>
      <w:sz w:val="24"/>
      <w:szCs w:val="24"/>
      <w:lang w:eastAsia="pt-BR"/>
    </w:rPr>
  </w:style>
  <w:style w:type="character" w:styleId="Hyperlink">
    <w:name w:val="Hyperlink"/>
    <w:basedOn w:val="Fontepargpadro"/>
    <w:uiPriority w:val="99"/>
    <w:rsid w:val="0095203B"/>
    <w:rPr>
      <w:color w:val="0000FF"/>
      <w:u w:val="single"/>
    </w:rPr>
  </w:style>
  <w:style w:type="paragraph" w:styleId="Ttulo">
    <w:name w:val="Title"/>
    <w:basedOn w:val="Normal"/>
    <w:link w:val="TtuloChar"/>
    <w:qFormat/>
    <w:rsid w:val="0095203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203B"/>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95203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203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203B"/>
    <w:rPr>
      <w:b/>
      <w:bCs/>
    </w:rPr>
  </w:style>
  <w:style w:type="paragraph" w:styleId="NormalWeb">
    <w:name w:val="Normal (Web)"/>
    <w:basedOn w:val="Normal"/>
    <w:uiPriority w:val="99"/>
    <w:rsid w:val="0095203B"/>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4C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3180</Words>
  <Characters>17176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2019-11-08T18:30:00Z</cp:lastPrinted>
  <dcterms:created xsi:type="dcterms:W3CDTF">2019-11-08T18:07:00Z</dcterms:created>
  <dcterms:modified xsi:type="dcterms:W3CDTF">2019-11-08T18:31:00Z</dcterms:modified>
</cp:coreProperties>
</file>