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2A" w:rsidRPr="002360B0" w:rsidRDefault="0087302A" w:rsidP="0087302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058/2018 - ATA REGISTRO DE PREÇOS N.º 12</w:t>
      </w:r>
      <w:r w:rsidR="00EC0A88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1</w:t>
      </w:r>
      <w:r w:rsidRPr="002360B0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/2018.</w:t>
      </w:r>
    </w:p>
    <w:p w:rsidR="0087302A" w:rsidRPr="002360B0" w:rsidRDefault="0087302A" w:rsidP="0087302A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87302A" w:rsidRPr="002360B0" w:rsidRDefault="0087302A" w:rsidP="0087302A">
      <w:pPr>
        <w:jc w:val="both"/>
        <w:rPr>
          <w:rFonts w:cs="Tahoma"/>
        </w:rPr>
      </w:pPr>
      <w:r w:rsidRPr="002360B0">
        <w:rPr>
          <w:rFonts w:cstheme="minorHAnsi"/>
        </w:rPr>
        <w:t> </w:t>
      </w:r>
      <w:r w:rsidR="00EC0A88">
        <w:rPr>
          <w:rFonts w:cs="Tahoma"/>
        </w:rPr>
        <w:t> </w:t>
      </w:r>
      <w:r w:rsidRPr="002360B0">
        <w:rPr>
          <w:rFonts w:cs="Tahoma"/>
        </w:rPr>
        <w:t xml:space="preserve"> O Fundo Municipal de Saúde de Ribeirão do Pinhal inscrito no CNPJ sob n.º 09.654.201/0001-87 com sede a Rua Paraná 940 – Centro, neste ato representado pelo Prefeito Municipal, o Senhor </w:t>
      </w:r>
      <w:r w:rsidRPr="002360B0">
        <w:rPr>
          <w:rFonts w:cs="Tahoma"/>
          <w:b/>
          <w:u w:val="single"/>
        </w:rPr>
        <w:t>WAGNER LUIZ DE OLIVEIRA MARTINS</w:t>
      </w:r>
      <w:r w:rsidRPr="002360B0">
        <w:rPr>
          <w:rFonts w:cs="Tahoma"/>
        </w:rPr>
        <w:t xml:space="preserve">, </w:t>
      </w:r>
      <w:r w:rsidRPr="002360B0">
        <w:rPr>
          <w:rFonts w:cstheme="minorHAnsi"/>
        </w:rPr>
        <w:t>portador do RG 10733456-2 SSP/PR., e inscrito sob CPF/MF n.º 052.206.749-27,brasileiro</w:t>
      </w:r>
      <w:r w:rsidRPr="002360B0">
        <w:rPr>
          <w:rFonts w:cstheme="minorHAnsi"/>
          <w:b/>
        </w:rPr>
        <w:t xml:space="preserve">, </w:t>
      </w:r>
      <w:r w:rsidRPr="002360B0">
        <w:rPr>
          <w:rFonts w:cstheme="minorHAnsi"/>
        </w:rPr>
        <w:t>casado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bCs/>
        </w:rPr>
        <w:t>CONTRATANTE</w:t>
      </w:r>
      <w:r w:rsidRPr="002360B0">
        <w:rPr>
          <w:rFonts w:cs="Tahoma"/>
        </w:rPr>
        <w:t xml:space="preserve">, e a Empresa </w:t>
      </w:r>
      <w:r w:rsidR="00EC0A88">
        <w:rPr>
          <w:rFonts w:cstheme="minorHAnsi"/>
          <w:b/>
        </w:rPr>
        <w:t>DEIZELAINE XAVIER DIAS EIRELI</w:t>
      </w:r>
      <w:r w:rsidRPr="002360B0">
        <w:rPr>
          <w:rFonts w:cstheme="minorHAnsi"/>
        </w:rPr>
        <w:t xml:space="preserve">, CNPJ n.º </w:t>
      </w:r>
      <w:r w:rsidR="00EC0A88">
        <w:rPr>
          <w:rFonts w:cstheme="minorHAnsi"/>
        </w:rPr>
        <w:t>25.043.791/0001-68</w:t>
      </w:r>
      <w:r w:rsidRPr="002360B0">
        <w:rPr>
          <w:rFonts w:cstheme="minorHAnsi"/>
        </w:rPr>
        <w:t xml:space="preserve">, com sede na </w:t>
      </w:r>
      <w:r w:rsidR="00EC0A88">
        <w:rPr>
          <w:rFonts w:cstheme="minorHAnsi"/>
        </w:rPr>
        <w:t>Avenida Dr. João Pessoa</w:t>
      </w:r>
      <w:r w:rsidRPr="002360B0">
        <w:rPr>
          <w:rFonts w:cstheme="minorHAnsi"/>
        </w:rPr>
        <w:t xml:space="preserve">, n.º </w:t>
      </w:r>
      <w:r w:rsidR="00EC0A88">
        <w:rPr>
          <w:rFonts w:cstheme="minorHAnsi"/>
        </w:rPr>
        <w:t>42</w:t>
      </w:r>
      <w:r w:rsidRPr="002360B0">
        <w:rPr>
          <w:rFonts w:cstheme="minorHAnsi"/>
        </w:rPr>
        <w:t xml:space="preserve">0, </w:t>
      </w:r>
      <w:r w:rsidR="00EC0A88">
        <w:rPr>
          <w:rFonts w:cstheme="minorHAnsi"/>
        </w:rPr>
        <w:t>Centro</w:t>
      </w:r>
      <w:r w:rsidRPr="002360B0">
        <w:rPr>
          <w:rFonts w:cstheme="minorHAnsi"/>
        </w:rPr>
        <w:t xml:space="preserve"> CEP.:</w:t>
      </w:r>
      <w:r w:rsidR="00EC0A88">
        <w:rPr>
          <w:rFonts w:cstheme="minorHAnsi"/>
        </w:rPr>
        <w:t xml:space="preserve"> 86.450-000</w:t>
      </w:r>
      <w:r w:rsidRPr="002360B0">
        <w:rPr>
          <w:rFonts w:cstheme="minorHAnsi"/>
        </w:rPr>
        <w:t xml:space="preserve">, na cidade de </w:t>
      </w:r>
      <w:proofErr w:type="spellStart"/>
      <w:r w:rsidR="00EC0A88">
        <w:rPr>
          <w:rFonts w:cstheme="minorHAnsi"/>
        </w:rPr>
        <w:t>Quatiguá</w:t>
      </w:r>
      <w:proofErr w:type="spellEnd"/>
      <w:r w:rsidR="00EC0A88">
        <w:rPr>
          <w:rFonts w:cstheme="minorHAnsi"/>
        </w:rPr>
        <w:t xml:space="preserve"> -</w:t>
      </w:r>
      <w:r w:rsidRPr="002360B0">
        <w:rPr>
          <w:rFonts w:cstheme="minorHAnsi"/>
        </w:rPr>
        <w:t xml:space="preserve"> Par</w:t>
      </w:r>
      <w:r w:rsidR="00EC0A88">
        <w:rPr>
          <w:rFonts w:cstheme="minorHAnsi"/>
        </w:rPr>
        <w:t>aná, neste ato representada pela</w:t>
      </w:r>
      <w:r w:rsidRPr="002360B0">
        <w:rPr>
          <w:rFonts w:cstheme="minorHAnsi"/>
        </w:rPr>
        <w:t xml:space="preserve"> senhor</w:t>
      </w:r>
      <w:r w:rsidR="00EC0A88">
        <w:rPr>
          <w:rFonts w:cstheme="minorHAnsi"/>
        </w:rPr>
        <w:t>a</w:t>
      </w:r>
      <w:r w:rsidRPr="002360B0">
        <w:rPr>
          <w:rFonts w:cstheme="minorHAnsi"/>
        </w:rPr>
        <w:t xml:space="preserve"> </w:t>
      </w:r>
      <w:r w:rsidR="00EC0A88">
        <w:rPr>
          <w:rFonts w:cstheme="minorHAnsi"/>
          <w:b/>
        </w:rPr>
        <w:t>DEIZELAINE XAVIER DIAS</w:t>
      </w:r>
      <w:r w:rsidR="00EC0A88">
        <w:rPr>
          <w:rFonts w:cstheme="minorHAnsi"/>
        </w:rPr>
        <w:t>, brasileira, empresária, residente e domiciliada</w:t>
      </w:r>
      <w:r w:rsidRPr="002360B0">
        <w:rPr>
          <w:rFonts w:cstheme="minorHAnsi"/>
        </w:rPr>
        <w:t xml:space="preserve"> </w:t>
      </w:r>
      <w:r w:rsidR="00EC0A88" w:rsidRPr="002360B0">
        <w:rPr>
          <w:rFonts w:cstheme="minorHAnsi"/>
        </w:rPr>
        <w:t xml:space="preserve">a </w:t>
      </w:r>
      <w:r w:rsidR="00EC0A88">
        <w:rPr>
          <w:rFonts w:cstheme="minorHAnsi"/>
        </w:rPr>
        <w:t>Avenida Dr. João Pessoa</w:t>
      </w:r>
      <w:r w:rsidR="00EC0A88" w:rsidRPr="002360B0">
        <w:rPr>
          <w:rFonts w:cstheme="minorHAnsi"/>
        </w:rPr>
        <w:t xml:space="preserve">, n.º </w:t>
      </w:r>
      <w:r w:rsidR="00EC0A88">
        <w:rPr>
          <w:rFonts w:cstheme="minorHAnsi"/>
        </w:rPr>
        <w:t>42</w:t>
      </w:r>
      <w:r w:rsidR="00EC0A88" w:rsidRPr="002360B0">
        <w:rPr>
          <w:rFonts w:cstheme="minorHAnsi"/>
        </w:rPr>
        <w:t xml:space="preserve">0, </w:t>
      </w:r>
      <w:r w:rsidR="00EC0A88">
        <w:rPr>
          <w:rFonts w:cstheme="minorHAnsi"/>
        </w:rPr>
        <w:t>Centro</w:t>
      </w:r>
      <w:r w:rsidR="00EC0A88" w:rsidRPr="002360B0">
        <w:rPr>
          <w:rFonts w:cstheme="minorHAnsi"/>
        </w:rPr>
        <w:t xml:space="preserve"> CEP.:</w:t>
      </w:r>
      <w:r w:rsidR="00EC0A88">
        <w:rPr>
          <w:rFonts w:cstheme="minorHAnsi"/>
        </w:rPr>
        <w:t xml:space="preserve"> 86.450-000</w:t>
      </w:r>
      <w:r w:rsidR="00EC0A88" w:rsidRPr="002360B0">
        <w:rPr>
          <w:rFonts w:cstheme="minorHAnsi"/>
        </w:rPr>
        <w:t xml:space="preserve">, na cidade de </w:t>
      </w:r>
      <w:proofErr w:type="spellStart"/>
      <w:r w:rsidR="00EC0A88">
        <w:rPr>
          <w:rFonts w:cstheme="minorHAnsi"/>
        </w:rPr>
        <w:t>Quatiguá</w:t>
      </w:r>
      <w:proofErr w:type="spellEnd"/>
      <w:r w:rsidR="00EC0A88">
        <w:rPr>
          <w:rFonts w:cstheme="minorHAnsi"/>
        </w:rPr>
        <w:t xml:space="preserve"> -</w:t>
      </w:r>
      <w:r w:rsidR="00EC0A88" w:rsidRPr="002360B0">
        <w:rPr>
          <w:rFonts w:cstheme="minorHAnsi"/>
        </w:rPr>
        <w:t xml:space="preserve"> Par</w:t>
      </w:r>
      <w:r w:rsidR="00EC0A88">
        <w:rPr>
          <w:rFonts w:cstheme="minorHAnsi"/>
        </w:rPr>
        <w:t>aná</w:t>
      </w:r>
      <w:r w:rsidRPr="002360B0">
        <w:rPr>
          <w:rFonts w:cstheme="minorHAnsi"/>
        </w:rPr>
        <w:t>, portador</w:t>
      </w:r>
      <w:r w:rsidR="00EC0A88">
        <w:rPr>
          <w:rFonts w:cstheme="minorHAnsi"/>
        </w:rPr>
        <w:t>a</w:t>
      </w:r>
      <w:r w:rsidRPr="002360B0">
        <w:rPr>
          <w:rFonts w:cstheme="minorHAnsi"/>
        </w:rPr>
        <w:t xml:space="preserve"> do RG n.º </w:t>
      </w:r>
      <w:r w:rsidR="00EC0A88">
        <w:rPr>
          <w:rFonts w:cstheme="minorHAnsi"/>
        </w:rPr>
        <w:t>8.248.500-7</w:t>
      </w:r>
      <w:r w:rsidRPr="002360B0">
        <w:rPr>
          <w:rFonts w:cstheme="minorHAnsi"/>
        </w:rPr>
        <w:t xml:space="preserve"> SSP/PR e inscrit</w:t>
      </w:r>
      <w:r w:rsidR="00EC0A88">
        <w:rPr>
          <w:rFonts w:cstheme="minorHAnsi"/>
        </w:rPr>
        <w:t>a</w:t>
      </w:r>
      <w:r w:rsidRPr="002360B0">
        <w:rPr>
          <w:rFonts w:cstheme="minorHAnsi"/>
        </w:rPr>
        <w:t xml:space="preserve"> no CFP/MF sob n.º </w:t>
      </w:r>
      <w:r w:rsidR="00EC0A88">
        <w:rPr>
          <w:rFonts w:cstheme="minorHAnsi"/>
        </w:rPr>
        <w:t>030.608.399-05</w:t>
      </w:r>
      <w:r w:rsidRPr="002360B0">
        <w:rPr>
          <w:rFonts w:cs="Tahoma"/>
        </w:rPr>
        <w:t xml:space="preserve">, neste ato simplesmente denominado </w:t>
      </w:r>
      <w:r w:rsidRPr="002360B0">
        <w:rPr>
          <w:rFonts w:cs="Tahoma"/>
          <w:b/>
          <w:u w:val="single"/>
        </w:rPr>
        <w:t>CONTRATADO,</w:t>
      </w:r>
      <w:r w:rsidRPr="002360B0">
        <w:rPr>
          <w:rFonts w:cs="Tahoma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PRIMEIRA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- DO OBJETO</w:t>
      </w:r>
    </w:p>
    <w:p w:rsidR="0087302A" w:rsidRPr="002360B0" w:rsidRDefault="0087302A" w:rsidP="0087302A">
      <w:pPr>
        <w:jc w:val="both"/>
        <w:rPr>
          <w:rFonts w:cs="Tahoma"/>
        </w:rPr>
      </w:pPr>
      <w:r w:rsidRPr="002360B0">
        <w:rPr>
          <w:rFonts w:cs="Tahoma"/>
        </w:rPr>
        <w:t xml:space="preserve">A presente Ata tem por objeto o registro de preços para possível  aquisição de equipamentos de informática, móveis, utensílios, eletrodomésticos e aparelhos de ar condicionado com recursos SESA 604/2015, VIGIASUS, VIGILANCIA EM SAÚDE E APSUS, conforme solicitação da Secretaria de Saúde, obrigando-se a </w:t>
      </w:r>
      <w:r w:rsidRPr="002360B0">
        <w:rPr>
          <w:rFonts w:cs="Tahoma"/>
          <w:b/>
          <w:u w:val="single"/>
        </w:rPr>
        <w:t xml:space="preserve">CONTRATADA </w:t>
      </w:r>
      <w:r w:rsidRPr="002360B0">
        <w:rPr>
          <w:rFonts w:cs="Tahoma"/>
        </w:rPr>
        <w:t xml:space="preserve">a executar em favor da </w:t>
      </w:r>
      <w:r w:rsidRPr="002360B0">
        <w:rPr>
          <w:rFonts w:cs="Tahoma"/>
          <w:b/>
          <w:u w:val="single"/>
        </w:rPr>
        <w:t xml:space="preserve">CONTRATANTE </w:t>
      </w:r>
      <w:r w:rsidRPr="002360B0">
        <w:rPr>
          <w:rFonts w:cs="Tahoma"/>
        </w:rPr>
        <w:t>o fornecimento dos itens constantes nesse instrumento, conforme consta na proposta anexada ao Processo Licitatório Modalidade Pregão Presencial, r</w:t>
      </w:r>
      <w:r w:rsidR="00EC0A88">
        <w:rPr>
          <w:rFonts w:cs="Tahoma"/>
        </w:rPr>
        <w:t>egistrado sob n.º 058/2018 lote</w:t>
      </w:r>
      <w:r w:rsidRPr="002360B0">
        <w:rPr>
          <w:rFonts w:cs="Tahoma"/>
        </w:rPr>
        <w:t xml:space="preserve"> </w:t>
      </w:r>
      <w:r w:rsidR="00EC0A88">
        <w:rPr>
          <w:rFonts w:cs="Tahoma"/>
        </w:rPr>
        <w:t>02</w:t>
      </w:r>
      <w:r w:rsidRPr="002360B0">
        <w:rPr>
          <w:rFonts w:cs="Tahoma"/>
        </w:rPr>
        <w:t xml:space="preserve">, a qual fará parte integrante deste instrumento. </w:t>
      </w:r>
    </w:p>
    <w:p w:rsidR="0087302A" w:rsidRPr="002360B0" w:rsidRDefault="0087302A" w:rsidP="0087302A">
      <w:pPr>
        <w:rPr>
          <w:rFonts w:cs="Tahoma"/>
          <w:b/>
        </w:rPr>
      </w:pPr>
      <w:r w:rsidRPr="002360B0">
        <w:rPr>
          <w:rFonts w:cs="Tahoma"/>
          <w:b/>
          <w:u w:val="single"/>
        </w:rPr>
        <w:t>CLÁUSULA SEGUNDA</w:t>
      </w:r>
      <w:r w:rsidRPr="002360B0">
        <w:rPr>
          <w:rFonts w:cs="Tahoma"/>
          <w:b/>
        </w:rPr>
        <w:t xml:space="preserve"> – DA VIGÊNCIA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ab/>
        <w:t xml:space="preserve">O presente contrato terá início na data de sua assinatura e vigorará até </w:t>
      </w:r>
      <w:r w:rsidRPr="002360B0">
        <w:rPr>
          <w:rFonts w:asciiTheme="minorHAnsi" w:hAnsiTheme="minorHAnsi" w:cs="Tahoma"/>
          <w:b/>
          <w:sz w:val="22"/>
          <w:szCs w:val="22"/>
        </w:rPr>
        <w:t>16/10/2019</w:t>
      </w:r>
      <w:r w:rsidRPr="002360B0">
        <w:rPr>
          <w:rFonts w:asciiTheme="minorHAnsi" w:hAnsiTheme="minorHAnsi" w:cs="Tahoma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PREÇO DOS BENS E DAS QUANTIDADES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ab/>
        <w:t xml:space="preserve"> Os valores para aquisição do objeto do Processo são os que constam na proposta enviada pela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, os quais seguem transcritos abaixo:</w:t>
      </w:r>
    </w:p>
    <w:p w:rsidR="00EC0A88" w:rsidRPr="008A5EFA" w:rsidRDefault="00EC0A88" w:rsidP="00EC0A88">
      <w:pPr>
        <w:pStyle w:val="Ttulo"/>
        <w:spacing w:line="360" w:lineRule="auto"/>
        <w:jc w:val="left"/>
        <w:rPr>
          <w:rFonts w:asciiTheme="minorHAnsi" w:hAnsiTheme="minorHAnsi" w:cs="Tahoma"/>
          <w:sz w:val="20"/>
        </w:rPr>
      </w:pPr>
      <w:r w:rsidRPr="008A5EFA">
        <w:rPr>
          <w:rFonts w:asciiTheme="minorHAnsi" w:hAnsiTheme="minorHAnsi" w:cs="Tahoma"/>
          <w:sz w:val="20"/>
        </w:rPr>
        <w:t>LOTE 02 - MÓVEIS E ELETRODOMÉSTICO (RES. SESA 604/15 - APSUS/ VIGIASUS)</w:t>
      </w:r>
      <w:r w:rsidR="008A5EFA">
        <w:rPr>
          <w:rFonts w:asciiTheme="minorHAnsi" w:hAnsiTheme="minorHAnsi" w:cs="Tahoma"/>
          <w:sz w:val="20"/>
        </w:rPr>
        <w:t xml:space="preserve"> - </w:t>
      </w:r>
      <w:r w:rsidRPr="008A5EFA">
        <w:rPr>
          <w:rFonts w:asciiTheme="minorHAnsi" w:hAnsiTheme="minorHAnsi" w:cs="Tahoma"/>
          <w:sz w:val="20"/>
        </w:rPr>
        <w:t xml:space="preserve"> VALOR: R$ </w:t>
      </w:r>
      <w:r w:rsidR="005630CC" w:rsidRPr="008A5EFA">
        <w:rPr>
          <w:rFonts w:asciiTheme="minorHAnsi" w:hAnsiTheme="minorHAnsi" w:cs="Tahoma"/>
          <w:sz w:val="20"/>
        </w:rPr>
        <w:t>21.887</w:t>
      </w:r>
      <w:r w:rsidRPr="008A5EFA">
        <w:rPr>
          <w:rFonts w:asciiTheme="minorHAnsi" w:hAnsiTheme="minorHAnsi" w:cs="Tahoma"/>
          <w:sz w:val="20"/>
        </w:rPr>
        <w:t>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812"/>
        <w:gridCol w:w="1134"/>
        <w:gridCol w:w="708"/>
        <w:gridCol w:w="851"/>
      </w:tblGrid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8A5EFA">
              <w:rPr>
                <w:rFonts w:asciiTheme="minorHAnsi" w:hAnsiTheme="minorHAnsi" w:cs="Tahoma"/>
                <w:b/>
                <w:sz w:val="14"/>
                <w:szCs w:val="14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88" w:rsidRPr="008A5EFA" w:rsidRDefault="00EC0A88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8A5EFA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A88" w:rsidRPr="008A5EFA" w:rsidRDefault="00EC0A88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8A5EFA">
              <w:rPr>
                <w:rFonts w:asciiTheme="minorHAnsi" w:hAnsiTheme="minorHAnsi" w:cs="Tahoma"/>
                <w:b/>
                <w:sz w:val="14"/>
                <w:szCs w:val="14"/>
              </w:rPr>
              <w:t>UNID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8A5EFA">
              <w:rPr>
                <w:rFonts w:asciiTheme="minorHAnsi" w:hAnsiTheme="minorHAnsi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8A5EFA">
            <w:pPr>
              <w:pStyle w:val="SemEspaamento"/>
              <w:jc w:val="center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8A5EFA">
              <w:rPr>
                <w:rFonts w:asciiTheme="minorHAnsi" w:hAnsiTheme="minorHAnsi" w:cs="Tahoma"/>
                <w:b/>
                <w:sz w:val="14"/>
                <w:szCs w:val="14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8A5EFA">
              <w:rPr>
                <w:rFonts w:asciiTheme="minorHAnsi" w:hAnsiTheme="minorHAnsi" w:cs="Tahoma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4"/>
                <w:szCs w:val="14"/>
              </w:rPr>
            </w:pPr>
            <w:r w:rsidRPr="008A5EFA">
              <w:rPr>
                <w:rFonts w:asciiTheme="minorHAnsi" w:hAnsiTheme="minorHAnsi" w:cs="Tahoma"/>
                <w:b/>
                <w:sz w:val="14"/>
                <w:szCs w:val="14"/>
              </w:rPr>
              <w:t>TOTAL</w:t>
            </w: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EC0A88" w:rsidRPr="008A5EFA" w:rsidRDefault="00EC0A88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b/>
                <w:sz w:val="20"/>
                <w:szCs w:val="20"/>
              </w:rPr>
              <w:t>UNID ATENÇÃO PRIMÁRIA RES. SESA 604/15 - APSUS.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Pr="008A5EFA" w:rsidRDefault="00EC0A88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Pr="008A5EFA" w:rsidRDefault="00EC0A88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EFA" w:rsidRDefault="008A5EFA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FA" w:rsidRDefault="008A5EFA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EFA" w:rsidRDefault="008A5EFA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Armário 02 portas, corpo (laterais, base, prateleiras e fundos) confeccionado em madeira aglomerada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dupla face em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baixa pressão, bordas laterais com fita de PVC. Superfícies lisas e de fácil limpeza e desinfecção. Tampo superior confeccionado em madeira aglomerada </w:t>
            </w:r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de alta densidade com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sistema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postforming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bordas frontais 180º, bordas laterais em fita de PVC,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Fechadura frontal, tipo cilíndrico, dobradiças metálicas com abertura de 270º. Puxadores confeccionados em alumínio (acabamento fosco). 03 prateleiras internas, confeccionadas em madeira aglomerada 15 ou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com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e diversas regulagens de altura e dispositivo para fixação em aço trefilado. COR: branca medindo 1,60 X 0,95 X 0,50 – podendo ter variação de +/- 10%. Garantia de fabricação de no mínimo 12 meses.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5630CC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/AL160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EC0A88" w:rsidRDefault="005630CC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567,89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lastRenderedPageBreak/>
              <w:t>5.111,01</w:t>
            </w: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33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EFA" w:rsidRDefault="008A5EFA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FA" w:rsidRDefault="008A5EFA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5EFA" w:rsidRDefault="008A5EFA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Balcão 02 portas, confeccionado em madeira aglomerada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dupla face em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baixa pressão, bordas laterais com fita de PVC. Superfícies lisas, duradoras e de fácil limpeza e desinfecção. Tampo superior confeccionado em madeira aglomerada de alta densidade com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sistema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postforming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bordas frontais 180º, bordas laterais em fita de PVC,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Fechadura frontal, tipo cilíndrico, dobradiças metálicas com abertura de 270º. Puxadores metálicos (cromados). 01 prateleira interna,  confeccionada em madeira aglomerada entre 15 e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com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e diversas regulagens de altura e dispositivo para fixação em aço trefilado. COR: branca medindo 95 de largura X 74 de altura X 50 de profundidade – podendo ter variação de +/- 10%. Garantia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mín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01 (um) ano.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EFA" w:rsidRDefault="008A5EFA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C0A88" w:rsidRDefault="005630CC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/AB74</w:t>
            </w:r>
          </w:p>
          <w:p w:rsidR="00E670C1" w:rsidRDefault="00E670C1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E670C1" w:rsidRPr="008A5EFA" w:rsidRDefault="00E670C1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5630CC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332,42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664,84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Cadeira giratória executiva com braços, tamanho médio, assento e encosto em compensado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multi-laminado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12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>, com espuma injetada anatomicamente em densidade média (</w:t>
            </w:r>
            <w:smartTag w:uri="urn:schemas-microsoft-com:office:smarttags" w:element="metricconverter">
              <w:smartTagPr>
                <w:attr w:name="ProductID" w:val="50 a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50 a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60 Kg/m3), com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45 a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50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espessura. Revestimento do assento e encosto em tecido de alta resistência. 100% poliéster na cor azul escuro e espessura mínimo de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>. Bordas em PVC no contorno do estofado. Mecanismo tipo “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back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system”. Inclinação do encosto mediante acionamento de alavanca. Molas p/retorno automático do encosto e ajuste automático na frenagem 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reclinador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Regulagem da altura do assento a gás, coluna central desmontável, fixada por encaixe cônico com rolamento axial de giro, esferas e arruelas de aço com coluna e mola a gás para regulagem de altura e amortecimento de impactos ao sentar, acionada por alavanca. Regulagem de altura do encosto para apoio lombar. Base giratória com capa de nylon na cor preta, com aranha de 5 hastes, apoiado sobre rodízios de duplo giro de nylon e com esferas de aço. Braços em poliuretano injetado, com alma de aço e regulagem vertical e horizontal. Fabricada em conformidade com as normas da ABNT. Medindo o encosto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35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altura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40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(mínimo) e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(máximo) de largura, base giratória de </w:t>
            </w:r>
            <w:smartTag w:uri="urn:schemas-microsoft-com:office:smarttags" w:element="metricconverter">
              <w:smartTagPr>
                <w:attr w:name="ProductID" w:val="67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67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assento X </w:t>
            </w:r>
            <w:smartTag w:uri="urn:schemas-microsoft-com:office:smarttags" w:element="metricconverter">
              <w:smartTagPr>
                <w:attr w:name="ProductID" w:val="46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46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largura X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profundidade - podendo ter variação de +/- 10%. Garantia mínima de 01 (um) ano 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5630CC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/2132-1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5630CC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221,62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1.994,58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Cadeira Espaço Saúde e recepção, Cadeira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empilhável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confeccionada em tubo de aço oblongo, com encaixes laterais para transformar em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longarina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Assento e encosto em polipropileno na cor preta. Peso suportado: </w:t>
            </w:r>
            <w:smartTag w:uri="urn:schemas-microsoft-com:office:smarttags" w:element="metricconverter">
              <w:smartTagPr>
                <w:attr w:name="ProductID" w:val="150 kg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150 kg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.Garantia 12 meses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5630CC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5630CC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115,42</w:t>
            </w:r>
          </w:p>
          <w:p w:rsidR="00E670C1" w:rsidRDefault="00E670C1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2.308,40</w:t>
            </w: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Mesa para refeitório, com tampo em compensado, com espessura de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revestido nas duas faces em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na cor branca, com bordas em PVC preta. Superfícies lisas, duradoras e de fácil limpeza e desinfecção. Com dimensões de: 1,20 X 0,80 X </w:t>
            </w:r>
            <w:smartTag w:uri="urn:schemas-microsoft-com:office:smarttags" w:element="metricconverter">
              <w:smartTagPr>
                <w:attr w:name="ProductID" w:val="0,78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0,78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com pés em aço cromado resistente à ferrugem. Acabamentos </w:t>
            </w:r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arredondados. Garantia de 1 (um) ano.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5630CC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/MRFT120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70C1" w:rsidRDefault="005630CC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535,57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535,57</w:t>
            </w: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4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Mesa de reunião retangular c/ tampo em madeira aglomerada c/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revestida em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na cor branca, c/ bordas em PVC. Superfícies lisas, duradoras e de fácil limpeza e desinfecção. Painel frontal em madeira aglomerada. Pés em tubo de aço ABNT 1010/1020, e seção c/ reforço lateral paralelo em tubo de aço ABNT 1010/1020, c/ pintura eletrostática em epóxi pó. Ponteiras de acabamento na cor preta. Niveladores c/ eixo de aço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rosqueável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Partes metálicas, c/ tratamento anticorrosivo e antiferruginoso c/ pintura eletrostática em epóxi pó na cor preto fosco.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Med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: 200 x </w:t>
            </w:r>
            <w:smartTag w:uri="urn:schemas-microsoft-com:office:smarttags" w:element="metricconverter">
              <w:smartTagPr>
                <w:attr w:name="ProductID" w:val="110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110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Acab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. arredondados. Garantia de 1 (um) ano.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5630CC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/MR200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5630CC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618,68</w:t>
            </w:r>
          </w:p>
          <w:p w:rsidR="00E670C1" w:rsidRDefault="00E670C1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618,68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Mesa escritório com gavetas (</w:t>
            </w:r>
            <w:smartTag w:uri="urn:schemas-microsoft-com:office:smarttags" w:element="metricconverter">
              <w:smartTagPr>
                <w:attr w:name="ProductID" w:val="1,20 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1,20 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larg.x </w:t>
            </w:r>
            <w:smartTag w:uri="urn:schemas-microsoft-com:office:smarttags" w:element="metricconverter">
              <w:smartTagPr>
                <w:attr w:name="ProductID" w:val="0,70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0,70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), Tampo confeccionado em madeira aglomerada de alta resistência e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com sistema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postforming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180º. Painel frontal confeccionado em madeira aglomerada de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alta resistência, dupla face, baixa pressão. Coluna estrutural com passagem de acabamento confeccionada em chapa de aço, com tratamento antiferrugem e acabamento em pintura epóxi. Acabamentos arredondados.  Com 02 gavetas com chave. Garantia de 1 (um) ano.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5630CC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/ME12070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341,66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3.074,94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Refrigerador Degelo automático, gaveta extra fria para alimentos frescos, gaveta para frutas e legumes, termostato para ajuste de temperatura, porta ovos, prateleiras removíveis, reguláveis e inclináveis, isento de CFC, pés niveladores, iluminação interna, capacidade bruta (geladeira X congelador) </w:t>
            </w:r>
            <w:r w:rsidRPr="008A5EFA">
              <w:rPr>
                <w:rFonts w:asciiTheme="minorHAnsi" w:hAnsiTheme="minorHAnsi" w:cs="Tahoma"/>
                <w:b/>
                <w:sz w:val="20"/>
                <w:szCs w:val="20"/>
              </w:rPr>
              <w:t xml:space="preserve">de </w:t>
            </w:r>
            <w:smartTag w:uri="urn:schemas-microsoft-com:office:smarttags" w:element="metricconverter">
              <w:smartTagPr>
                <w:attr w:name="ProductID" w:val="261 a"/>
              </w:smartTagPr>
              <w:r w:rsidRPr="008A5EFA">
                <w:rPr>
                  <w:rFonts w:asciiTheme="minorHAnsi" w:hAnsiTheme="minorHAnsi" w:cs="Tahoma"/>
                  <w:b/>
                  <w:sz w:val="20"/>
                  <w:szCs w:val="20"/>
                </w:rPr>
                <w:t>261 a</w:t>
              </w:r>
            </w:smartTag>
            <w:r w:rsidRPr="008A5EFA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95 Litros"/>
              </w:smartTagPr>
              <w:r w:rsidRPr="008A5EFA">
                <w:rPr>
                  <w:rFonts w:asciiTheme="minorHAnsi" w:hAnsiTheme="minorHAnsi" w:cs="Tahoma"/>
                  <w:b/>
                  <w:sz w:val="20"/>
                  <w:szCs w:val="20"/>
                </w:rPr>
                <w:t>295 Litros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consumo mensal de </w:t>
            </w:r>
            <w:smartTag w:uri="urn:schemas-microsoft-com:office:smarttags" w:element="metricconverter">
              <w:smartTagPr>
                <w:attr w:name="ProductID" w:val="23 a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23 a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28 kWh, Potência 110 v na cor Branca com garantia mínima de 12 meses. Assistência Técnica do equipamento deverá ser no Estado do Paraná, se não  houver,  a  empresa  vencedora  deverá  comprometer-se  a  realizar gratuitamente  o  translado  dos  equipamentos  até  o  local da  Assistência Técnica.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Consul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/CRA30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  <w:r w:rsidRPr="008A5EFA">
              <w:rPr>
                <w:rFonts w:asciiTheme="minorHAnsi" w:hAnsiTheme="minorHAnsi" w:cs="Tahoma"/>
                <w:color w:val="000000"/>
                <w:sz w:val="16"/>
                <w:szCs w:val="16"/>
              </w:rPr>
              <w:t>1.</w:t>
            </w:r>
            <w:r w:rsidR="00102054" w:rsidRPr="008A5EFA">
              <w:rPr>
                <w:rFonts w:asciiTheme="minorHAnsi" w:hAnsiTheme="minorHAnsi" w:cs="Tahoma"/>
                <w:color w:val="000000"/>
                <w:sz w:val="16"/>
                <w:szCs w:val="16"/>
              </w:rPr>
              <w:t>431,</w:t>
            </w:r>
            <w:r w:rsidRPr="008A5EFA">
              <w:rPr>
                <w:rFonts w:asciiTheme="minorHAnsi" w:hAnsiTheme="minorHAnsi" w:cs="Tahoma"/>
                <w:color w:val="000000"/>
                <w:sz w:val="16"/>
                <w:szCs w:val="16"/>
              </w:rPr>
              <w:t>90</w:t>
            </w: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  <w:p w:rsidR="008A5EFA" w:rsidRPr="008A5EFA" w:rsidRDefault="008A5EFA" w:rsidP="008A5EF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Default="00102054" w:rsidP="008A5EFA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1.431,</w:t>
            </w:r>
            <w:r w:rsidR="008A5EFA" w:rsidRPr="008A5EFA">
              <w:rPr>
                <w:rFonts w:cs="Tahoma"/>
                <w:color w:val="000000"/>
                <w:sz w:val="20"/>
                <w:szCs w:val="20"/>
              </w:rPr>
              <w:t>90</w:t>
            </w:r>
          </w:p>
          <w:p w:rsidR="008A5EFA" w:rsidRDefault="008A5EFA" w:rsidP="008A5EFA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8A5EFA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8A5EFA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8A5EFA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Pr="008A5EFA" w:rsidRDefault="00EC0A88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Pr="008A5EFA" w:rsidRDefault="00102054" w:rsidP="008A5EFA">
            <w:pPr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8A5EFA">
              <w:rPr>
                <w:rFonts w:cs="Tahoma"/>
                <w:b/>
                <w:color w:val="000000"/>
                <w:sz w:val="16"/>
                <w:szCs w:val="16"/>
              </w:rPr>
              <w:t>15.739,</w:t>
            </w:r>
            <w:r w:rsidR="008A5EFA" w:rsidRPr="008A5EFA">
              <w:rPr>
                <w:rFonts w:cs="Tahoma"/>
                <w:b/>
                <w:color w:val="000000"/>
                <w:sz w:val="16"/>
                <w:szCs w:val="16"/>
              </w:rPr>
              <w:t>92</w:t>
            </w:r>
          </w:p>
        </w:tc>
      </w:tr>
      <w:tr w:rsidR="00EC0A88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0A88" w:rsidRPr="008A5EFA" w:rsidRDefault="00EC0A88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EC0A88" w:rsidRPr="008A5EFA" w:rsidRDefault="00EC0A88" w:rsidP="00533602">
            <w:pPr>
              <w:pStyle w:val="SemEspaamento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b/>
                <w:sz w:val="20"/>
                <w:szCs w:val="20"/>
              </w:rPr>
              <w:t>UNID.EPIDEMIOLOGIA E VISA - VIGIASUS E VIGILÂNCIA EM SAÚDE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0A88" w:rsidRPr="008A5EFA" w:rsidRDefault="00EC0A88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Pr="008A5EFA" w:rsidRDefault="00EC0A88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0A88" w:rsidRPr="008A5EFA" w:rsidRDefault="00EC0A88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Armário 02 portas, corpo (laterais, base, prateleiras e fundos) confeccionado em madeira aglomerada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dupla face em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baixa pressão, bordas laterais com fita de PVC. Superfícies lisas e de fácil limpeza e desinfecção. Tampo superior confeccionado em madeira aglomerada de alta densidade com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sistema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postforming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bordas frontais 180º, bordas laterais em fita de PVC,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Fechadura frontal, tipo cilíndrico, dobradiças metálicas com abertura de 270º. Puxadores confeccionados em alumínio (acabamento fosco). 03 prateleiras internas, confeccionadas em madeira aglomerada 15 ou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com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e diversas regulagens de altura e dispositivo para fixação em aço trefilado. COR: branca medindo 1,60 X 0,95 X 0,50 – podendo ter variação de +/- 10%. Garantia de fabricação de no mínimo 12 meses.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/AL160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567,89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1.135,78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Cadeira giratória executiva com braços, tamanho médio, assento e encosto em compensado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multi-laminado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12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>, com espuma injetada anatomicamente em densidade média (</w:t>
            </w:r>
            <w:smartTag w:uri="urn:schemas-microsoft-com:office:smarttags" w:element="metricconverter">
              <w:smartTagPr>
                <w:attr w:name="ProductID" w:val="50 a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50 a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60 Kg/m3), com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45 a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50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espessura. Revestimento do assento e encosto em tecido de alta resistência. 100% poliéster na cor azul escuro e espessura mínimo de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Bordas em PVC no contorno do </w:t>
            </w:r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estofado. Mecanismo tipo “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back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system”. Inclinação do encosto mediante acionamento de alavanca. Molas p/retorno automático do encosto e ajuste automático na frenagem 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reclinador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Regulagem da altura do assento a gás, coluna central desmontável, fixada por encaixe cônico com rolamento axial de giro, esferas e arruelas de aço com coluna e mola a gás para regulagem de altura e amortecimento de impactos ao sentar, acionada por alavanca. Regulagem de altura do encosto para apoio lombar. Base giratória com capa de nylon na cor preta, com aranha de 5 hastes, apoiado sobre rodízios de duplo giro de nylon e com esferas de aço. Braços em poliuretano injetado, com alma de aço e regulagem vertical e horizontal. Fabricada em conformidade com as normas da ABNT. Medindo o encosto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35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altura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40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(mínimo) e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(máximo) de largura, base giratória de </w:t>
            </w:r>
            <w:smartTag w:uri="urn:schemas-microsoft-com:office:smarttags" w:element="metricconverter">
              <w:smartTagPr>
                <w:attr w:name="ProductID" w:val="67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67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assento X </w:t>
            </w:r>
            <w:smartTag w:uri="urn:schemas-microsoft-com:office:smarttags" w:element="metricconverter">
              <w:smartTagPr>
                <w:attr w:name="ProductID" w:val="46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46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largura X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profundidade - podendo ter variação de +/- 10%. Garantia mínima de 01 (um) ano 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/2132-1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221,62</w:t>
            </w:r>
          </w:p>
          <w:p w:rsidR="00E670C1" w:rsidRDefault="00E670C1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E670C1" w:rsidRDefault="00E670C1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886,48</w:t>
            </w:r>
          </w:p>
          <w:p w:rsidR="00E670C1" w:rsidRDefault="00E670C1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Mesa escritório com gavetas (</w:t>
            </w:r>
            <w:smartTag w:uri="urn:schemas-microsoft-com:office:smarttags" w:element="metricconverter">
              <w:smartTagPr>
                <w:attr w:name="ProductID" w:val="1,20 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1,20 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larg.x </w:t>
            </w:r>
            <w:smartTag w:uri="urn:schemas-microsoft-com:office:smarttags" w:element="metricconverter">
              <w:smartTagPr>
                <w:attr w:name="ProductID" w:val="0,70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0,70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), Tampo confeccionado em madeira aglomerada de alta resistência e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com sistema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postforming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180º. Painel frontal confeccionado em madeira aglomerada de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alta resistência, dupla face, baixa pressão. Coluna estrutural com passagem de acabamento confeccionada em chapa de aço, com tratamento antiferrugem e acabamento em pintura epóxi. Acabamentos arredondados.  Com 02 gavetas com chave. Garantia de 1 (um) ano.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/ME12070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341,66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5EFA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683,32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8A5EFA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Cadeira secretária fixa pé palito, preta, a</w:t>
            </w:r>
            <w:r w:rsidRPr="008A5EFA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ssento e encosto de espuma laminada, assento 30mm e encosto 25mm,  Altura: 85 cm, altura encosto: 36 cm, largura assento: 43 cm, profundidade assento: 39 cm, peso líq. aproximado do produto: 4 kg,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capac</w:t>
            </w:r>
            <w:proofErr w:type="spellEnd"/>
            <w:r w:rsidR="008A5EFA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.</w:t>
            </w:r>
            <w:r w:rsidRPr="008A5EFA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carga 120 Kg.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</w:t>
            </w:r>
            <w:r w:rsidRPr="008A5EFA">
              <w:rPr>
                <w:rFonts w:asciiTheme="minorHAnsi" w:hAnsiTheme="minorHAnsi" w:cs="Tahoma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66,48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398,88</w:t>
            </w: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Tenda em alumínio dobrável 3x3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sanfonada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, cor azul, e</w:t>
            </w:r>
            <w:r w:rsidRPr="008A5EFA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strutura articulada com armação em alumínio não enferruja, cobertura em 100% poliéster, inclui espetos metálicos para fixação em solo firme, tirantes para amarração, inclui bolsa resistente para transporte e armazenamento, Base: 3,0 m X 3,0m, teto: 2,4 m X 2,4 m, Altura central: 2,40 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Mor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443,23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443,23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102054" w:rsidP="00533602">
            <w:pPr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8A5EFA">
              <w:rPr>
                <w:rFonts w:cs="Tahoma"/>
                <w:b/>
                <w:color w:val="000000"/>
                <w:sz w:val="16"/>
                <w:szCs w:val="16"/>
              </w:rPr>
              <w:t>3.547,69</w:t>
            </w: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b/>
                <w:sz w:val="20"/>
                <w:szCs w:val="20"/>
              </w:rPr>
              <w:t>UNIDADES DE SAÚDE RES. SESA 604/15 - APSUS.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Armário 02 portas, corpo (laterais, base, prateleiras e fundos) confeccionado em madeira aglomerada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dupla face em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baixa pressão, bordas laterais com fita de PVC. Superfícies lisas e de fácil limpeza e desinfecção. Tampo superior confeccionado em madeira aglomerada de alta densidade com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sistema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postforming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bordas frontais 180º, bordas laterais em fita de PVC,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Fechadura frontal, tipo cilíndrico, dobradiças metálicas com abertura de 270º. Puxadores confeccionados em alumínio (acabamento fosco). 03 prateleiras internas, confeccionadas em madeira aglomerada 15 ou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18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com revestimento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e diversas regulagens de altura e dispositivo para fixação em aço trefilado. COR: branca medindo 1,60 X 0,95 X 0,50 – podendo ter variação de +/- 10%. Garantia de no mínimo 12 meses.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/AL160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567,89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567,89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Cadeira giratória executiva com braços, tamanho médio, assento e encosto em compensado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multi-laminado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12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, com espuma </w:t>
            </w:r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injetada anatomicamente em densidade média (</w:t>
            </w:r>
            <w:smartTag w:uri="urn:schemas-microsoft-com:office:smarttags" w:element="metricconverter">
              <w:smartTagPr>
                <w:attr w:name="ProductID" w:val="50 a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50 a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60 Kg/m3), com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45 a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50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espessura. Revestimento do assento e encosto em tecido de alta resistência. 100% poliéster na cor azul escuro e espessura mínimo de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>. Bordas em PVC no contorno do estofado. Mecanismo tipo “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back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system”. Inclinação do encosto mediante acionamento de alavanca. Molas p/retorno automático do encosto e ajuste automático na frenagem 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reclinador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. Regulagem da altura do assento a gás, coluna central desmontável, fixada por encaixe cônico com rolamento axial de giro, esferas e arruelas de aço com coluna e mola a gás para regulagem de altura e amortecimento de impactos ao sentar, acionada por alavanca. Regulagem de altura do encosto para apoio lombar. Base giratória com capa de nylon na cor preta, com aranha de 5 hastes, apoiado sobre rodízios de duplo giro de nylon e com esferas de aço. Braços em poliuretano injetado, com alma de aço e regulagem vertical e horizontal. Fabricada em conformidade com as normas da ABNT. Medindo o encosto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35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altura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40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(mínimo) e </w:t>
            </w:r>
            <w:smartTag w:uri="urn:schemas-microsoft-com:office:smarttags" w:element="metricconverter">
              <w:smartTagPr>
                <w:attr w:name="ProductID" w:val="5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55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(máximo) de largura, base giratória de </w:t>
            </w:r>
            <w:smartTag w:uri="urn:schemas-microsoft-com:office:smarttags" w:element="metricconverter">
              <w:smartTagPr>
                <w:attr w:name="ProductID" w:val="67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67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assento X </w:t>
            </w:r>
            <w:smartTag w:uri="urn:schemas-microsoft-com:office:smarttags" w:element="metricconverter">
              <w:smartTagPr>
                <w:attr w:name="ProductID" w:val="46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46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largura X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45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profundidade - podendo ter variação de +/- 10%. Garantia mínima de 01 (um) ano para defeitos de fabricação.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/2132-1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221,62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lastRenderedPageBreak/>
              <w:t>664,86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Mesa escritório com gavetas (</w:t>
            </w:r>
            <w:smartTag w:uri="urn:schemas-microsoft-com:office:smarttags" w:element="metricconverter">
              <w:smartTagPr>
                <w:attr w:name="ProductID" w:val="1,20 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1,20 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larg.x </w:t>
            </w:r>
            <w:smartTag w:uri="urn:schemas-microsoft-com:office:smarttags" w:element="metricconverter">
              <w:smartTagPr>
                <w:attr w:name="ProductID" w:val="0,70 c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0,70 cm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), Tampo confeccionado em madeira aglomerada de alta resistência e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25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com sistema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postforming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180º. Painel frontal confeccionado em madeira aglomerada de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8A5EFA">
                <w:rPr>
                  <w:rFonts w:asciiTheme="minorHAnsi" w:hAnsiTheme="minorHAnsi" w:cs="Tahoma"/>
                  <w:sz w:val="20"/>
                  <w:szCs w:val="20"/>
                </w:rPr>
                <w:t>15 mm</w:t>
              </w:r>
            </w:smartTag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espessura, revestimento laminado </w:t>
            </w: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melamínico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 xml:space="preserve"> de alta resistência, dupla face, baixa pressão. Coluna estrutural com passagem de acabamento confeccionada em chapa de aço, com tratamento antiferrugem e acabamento em pintura epóxi. Acabamentos arredondados.  Com 02 gavetas com chave. Garantia de 1 (um) ano.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8A5EFA">
              <w:rPr>
                <w:rFonts w:asciiTheme="minorHAnsi" w:hAnsiTheme="minorHAnsi" w:cs="Tahoma"/>
                <w:sz w:val="20"/>
                <w:szCs w:val="20"/>
              </w:rPr>
              <w:t>Unimóveis</w:t>
            </w:r>
            <w:proofErr w:type="spellEnd"/>
            <w:r w:rsidRPr="008A5EFA">
              <w:rPr>
                <w:rFonts w:asciiTheme="minorHAnsi" w:hAnsiTheme="minorHAnsi" w:cs="Tahoma"/>
                <w:sz w:val="20"/>
                <w:szCs w:val="20"/>
              </w:rPr>
              <w:t>/ME12070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color w:val="000000"/>
                <w:sz w:val="20"/>
                <w:szCs w:val="20"/>
              </w:rPr>
              <w:t>341,66</w:t>
            </w: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8A5EFA">
              <w:rPr>
                <w:rFonts w:cs="Tahoma"/>
                <w:color w:val="000000"/>
                <w:sz w:val="20"/>
                <w:szCs w:val="20"/>
              </w:rPr>
              <w:t>1.366,40</w:t>
            </w: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8A5EFA" w:rsidRPr="008A5EFA" w:rsidRDefault="008A5EFA" w:rsidP="00533602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8A5EFA" w:rsidP="00533602">
            <w:pPr>
              <w:jc w:val="right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8A5EFA">
              <w:rPr>
                <w:rFonts w:cs="Tahoma"/>
                <w:b/>
                <w:bCs/>
                <w:color w:val="000000"/>
                <w:sz w:val="16"/>
                <w:szCs w:val="16"/>
              </w:rPr>
              <w:t>2.599,39</w:t>
            </w:r>
          </w:p>
        </w:tc>
      </w:tr>
      <w:tr w:rsidR="00102054" w:rsidRPr="008A5EFA" w:rsidTr="008A5EFA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02054" w:rsidRPr="008A5EFA" w:rsidRDefault="00102054" w:rsidP="00533602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8A5EFA">
              <w:rPr>
                <w:rFonts w:asciiTheme="minorHAnsi" w:hAnsiTheme="minorHAnsi" w:cs="Tahoma"/>
                <w:sz w:val="20"/>
                <w:szCs w:val="20"/>
              </w:rPr>
              <w:t>TOTAL DO LOTE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2054" w:rsidRPr="008A5EFA" w:rsidRDefault="00102054" w:rsidP="008A5EFA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102054" w:rsidP="00533602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2054" w:rsidRPr="008A5EFA" w:rsidRDefault="008A5EFA" w:rsidP="00533602">
            <w:pPr>
              <w:jc w:val="right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8A5EFA">
              <w:rPr>
                <w:rFonts w:cs="Tahoma"/>
                <w:b/>
                <w:bCs/>
                <w:color w:val="000000"/>
                <w:sz w:val="16"/>
                <w:szCs w:val="16"/>
              </w:rPr>
              <w:t>21.887,00</w:t>
            </w:r>
          </w:p>
        </w:tc>
      </w:tr>
    </w:tbl>
    <w:p w:rsidR="0087302A" w:rsidRPr="002360B0" w:rsidRDefault="0087302A" w:rsidP="0087302A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t>CLÁUSULA QUARTA</w:t>
      </w:r>
      <w:r w:rsidRPr="002360B0">
        <w:rPr>
          <w:rFonts w:cs="Tahoma"/>
          <w:b/>
          <w:bCs/>
        </w:rPr>
        <w:t xml:space="preserve"> – DA FORMA DE PAGAMENTO</w:t>
      </w:r>
      <w:r w:rsidRPr="002360B0">
        <w:rPr>
          <w:rFonts w:cs="Tahoma"/>
        </w:rPr>
        <w:t>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subseqüente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, contados da data da entrega da fatura, devendo salientar que </w:t>
      </w:r>
      <w:r w:rsidRPr="002360B0">
        <w:rPr>
          <w:rFonts w:asciiTheme="minorHAnsi" w:hAnsiTheme="minorHAnsi" w:cs="Tahoma"/>
          <w:bCs/>
          <w:sz w:val="22"/>
          <w:szCs w:val="22"/>
        </w:rPr>
        <w:t>j</w:t>
      </w:r>
      <w:r w:rsidRPr="002360B0">
        <w:rPr>
          <w:rFonts w:asciiTheme="minorHAnsi" w:hAnsiTheme="minorHAnsi" w:cs="Tahoma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>.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 </w:t>
      </w: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QUINTA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DOTAÇÃO ORÇAMENTÁRIA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ab/>
        <w:t xml:space="preserve"> As despesas com a execução deste contrato correrão no orçamento da Dotação Orçamentária:</w:t>
      </w:r>
      <w:r w:rsidR="00E670C1">
        <w:rPr>
          <w:rFonts w:asciiTheme="minorHAnsi" w:hAnsiTheme="minorHAnsi" w:cs="Tahoma"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08.001-10.301.0011.2087-4490520000-1011-495; 08.001-10.301.0011.22125-3390300000-916-494 - 10.301.0011.2023--3390300000-1610-495; 08.001-10.301.0011.2024-4490520000-1630-495 - 10.301.0011.2126-4490520000-817-495.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SEXTA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DO CONTRATANTE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lastRenderedPageBreak/>
        <w:t>1) Efetuar os pagamentos mediante comprovação de execução dos serviços correspondentes, e de acordo com a cláusula quarta.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SÉTIMA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OBRIGAÇÕES DA CONTRATADA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ab/>
        <w:t xml:space="preserve">Para garantir o fiel cumprimento do presente contrato, 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CONTRATADA </w:t>
      </w:r>
      <w:r w:rsidRPr="002360B0">
        <w:rPr>
          <w:rFonts w:asciiTheme="minorHAnsi" w:hAnsiTheme="minorHAnsi" w:cs="Tahoma"/>
          <w:bCs/>
          <w:sz w:val="22"/>
          <w:szCs w:val="22"/>
        </w:rPr>
        <w:t>se</w:t>
      </w:r>
      <w:r w:rsidRPr="002360B0">
        <w:rPr>
          <w:rFonts w:asciiTheme="minorHAnsi" w:hAnsiTheme="minorHAnsi" w:cs="Tahoma"/>
          <w:sz w:val="22"/>
          <w:szCs w:val="22"/>
        </w:rPr>
        <w:t xml:space="preserve"> compromete a: 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1) Executar o fornecimento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do objeto </w:t>
      </w:r>
      <w:r w:rsidRPr="002360B0">
        <w:rPr>
          <w:rFonts w:asciiTheme="minorHAnsi" w:hAnsiTheme="minorHAnsi" w:cs="Tahoma"/>
          <w:sz w:val="22"/>
          <w:szCs w:val="22"/>
        </w:rPr>
        <w:t xml:space="preserve">ora contratado de acordo com a solicitação do CONTRATANTE e proposta apresentada </w:t>
      </w:r>
      <w:r w:rsidRPr="002360B0">
        <w:rPr>
          <w:rFonts w:asciiTheme="minorHAnsi" w:hAnsiTheme="minorHAnsi" w:cs="Tahoma"/>
          <w:bCs/>
          <w:sz w:val="22"/>
          <w:szCs w:val="22"/>
        </w:rPr>
        <w:t>até o final do prazo contratual.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2) Fornecer o objeto sem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qualquer outro custo.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3) Zelar pela qualidade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do objeto entregue</w:t>
      </w:r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4) Responsabilizar-se pelos eventuais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 danos</w:t>
      </w:r>
      <w:r w:rsidRPr="002360B0">
        <w:rPr>
          <w:rFonts w:asciiTheme="minorHAnsi" w:hAnsiTheme="minorHAnsi" w:cs="Tahoma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</w:rPr>
        <w:t>5) Manter em dia as obrigações</w:t>
      </w:r>
      <w:r w:rsidRPr="002360B0">
        <w:rPr>
          <w:rFonts w:asciiTheme="minorHAnsi" w:hAnsiTheme="minorHAnsi" w:cs="Tahoma"/>
          <w:b/>
          <w:sz w:val="22"/>
          <w:szCs w:val="22"/>
        </w:rPr>
        <w:t xml:space="preserve"> concernentes</w:t>
      </w:r>
      <w:r w:rsidRPr="002360B0">
        <w:rPr>
          <w:rFonts w:asciiTheme="minorHAnsi" w:hAnsiTheme="minorHAnsi" w:cs="Tahoma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6</w:t>
      </w:r>
      <w:r w:rsidRPr="002360B0">
        <w:rPr>
          <w:rFonts w:asciiTheme="minorHAnsi" w:hAnsiTheme="minorHAnsi" w:cs="Tahoma"/>
          <w:b/>
          <w:sz w:val="22"/>
          <w:szCs w:val="22"/>
        </w:rPr>
        <w:t>) Entregar o objeto livre de</w:t>
      </w:r>
      <w:r w:rsidRPr="002360B0">
        <w:rPr>
          <w:rFonts w:asciiTheme="minorHAnsi" w:hAnsiTheme="minorHAnsi" w:cs="Tahoma"/>
          <w:sz w:val="22"/>
          <w:szCs w:val="22"/>
        </w:rPr>
        <w:t xml:space="preserve"> frete e outras despesas (montado e instalado);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7) </w:t>
      </w:r>
      <w:r w:rsidRPr="002360B0">
        <w:rPr>
          <w:rFonts w:asciiTheme="minorHAnsi" w:hAnsiTheme="minorHAnsi" w:cs="Tahoma"/>
          <w:b/>
          <w:sz w:val="22"/>
          <w:szCs w:val="22"/>
        </w:rPr>
        <w:t>Substituir o produto com defeitos ou problemas</w:t>
      </w:r>
      <w:r w:rsidRPr="002360B0">
        <w:rPr>
          <w:rFonts w:asciiTheme="minorHAnsi" w:hAnsiTheme="minorHAnsi" w:cs="Tahoma"/>
          <w:sz w:val="22"/>
          <w:szCs w:val="22"/>
        </w:rPr>
        <w:t xml:space="preserve"> em um prazo máximo de 30 dias corridos, sob pena de multa.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360B0">
        <w:rPr>
          <w:rFonts w:asciiTheme="minorHAnsi" w:hAnsiTheme="minorHAnsi" w:cs="Tahoma"/>
          <w:b/>
          <w:sz w:val="22"/>
          <w:szCs w:val="22"/>
        </w:rPr>
        <w:t>08) Entregar o objeto  nos locais indicados pela Secretária de Saúde.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87302A" w:rsidRPr="002360B0" w:rsidRDefault="0087302A" w:rsidP="0087302A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</w:pPr>
      <w:bookmarkStart w:id="0" w:name="_GoBack"/>
      <w:r w:rsidRPr="002360B0">
        <w:rPr>
          <w:rFonts w:asciiTheme="minorHAnsi" w:hAnsiTheme="minorHAnsi" w:cs="Tahoma"/>
          <w:b/>
          <w:sz w:val="22"/>
          <w:szCs w:val="22"/>
          <w:u w:val="single"/>
        </w:rPr>
        <w:t xml:space="preserve">CLÁUSULA OITAVA - </w:t>
      </w:r>
      <w:r w:rsidRPr="002360B0">
        <w:rPr>
          <w:rStyle w:val="Forte"/>
          <w:rFonts w:asciiTheme="minorHAnsi" w:eastAsiaTheme="minorEastAsia" w:hAnsiTheme="minorHAnsi" w:cs="Tahoma"/>
          <w:sz w:val="22"/>
          <w:szCs w:val="22"/>
          <w:u w:val="single"/>
        </w:rPr>
        <w:t>DA FRAUDE E DA CORRUPÇÃO</w:t>
      </w:r>
    </w:p>
    <w:p w:rsidR="0087302A" w:rsidRPr="002360B0" w:rsidRDefault="0087302A" w:rsidP="0087302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87302A" w:rsidRPr="002360B0" w:rsidRDefault="0087302A" w:rsidP="0087302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sz w:val="22"/>
          <w:szCs w:val="22"/>
        </w:rPr>
        <w:t>01 -</w:t>
      </w:r>
      <w:r w:rsidRPr="002360B0">
        <w:rPr>
          <w:rFonts w:asciiTheme="minorHAnsi" w:hAnsiTheme="minorHAnsi" w:cs="Tahoma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7302A" w:rsidRPr="002360B0" w:rsidRDefault="0087302A" w:rsidP="0087302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</w:p>
    <w:p w:rsidR="0087302A" w:rsidRPr="002360B0" w:rsidRDefault="0087302A" w:rsidP="0087302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Para os propósitos desta cláusula definem-se as seguintes práticas: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bookmarkEnd w:id="0"/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c) “prática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colusiva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2360B0">
        <w:rPr>
          <w:rFonts w:asciiTheme="minorHAnsi" w:hAnsiTheme="minorHAnsi" w:cs="Tahoma"/>
          <w:sz w:val="22"/>
          <w:szCs w:val="22"/>
        </w:rPr>
        <w:t>não-competitivos</w:t>
      </w:r>
      <w:proofErr w:type="spellEnd"/>
      <w:r w:rsidRPr="002360B0">
        <w:rPr>
          <w:rFonts w:asciiTheme="minorHAnsi" w:hAnsiTheme="minorHAnsi" w:cs="Tahoma"/>
          <w:sz w:val="22"/>
          <w:szCs w:val="22"/>
        </w:rPr>
        <w:t>;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7302A" w:rsidRPr="002360B0" w:rsidRDefault="0087302A" w:rsidP="0087302A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87302A" w:rsidRDefault="0087302A" w:rsidP="0087302A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2360B0">
        <w:rPr>
          <w:rFonts w:eastAsia="Times New Roman" w:cs="Tahoma"/>
        </w:rPr>
        <w:t>colusivas</w:t>
      </w:r>
      <w:proofErr w:type="spellEnd"/>
      <w:r w:rsidRPr="002360B0">
        <w:rPr>
          <w:rFonts w:eastAsia="Times New Roman" w:cs="Tahoma"/>
        </w:rPr>
        <w:t>, coercitivas ou obstrutivas ao participar da licitação ou da execução um contrato financiado pelo organismo. </w:t>
      </w:r>
    </w:p>
    <w:p w:rsidR="00E670C1" w:rsidRPr="002360B0" w:rsidRDefault="00E670C1" w:rsidP="0087302A">
      <w:pPr>
        <w:spacing w:after="0" w:line="285" w:lineRule="atLeast"/>
        <w:jc w:val="both"/>
        <w:rPr>
          <w:rFonts w:eastAsia="Times New Roman" w:cs="Tahoma"/>
        </w:rPr>
      </w:pPr>
    </w:p>
    <w:p w:rsidR="0087302A" w:rsidRPr="002360B0" w:rsidRDefault="0087302A" w:rsidP="0087302A">
      <w:pPr>
        <w:spacing w:after="0" w:line="285" w:lineRule="atLeast"/>
        <w:jc w:val="both"/>
        <w:rPr>
          <w:rFonts w:eastAsia="Times New Roman" w:cs="Tahoma"/>
        </w:rPr>
      </w:pPr>
      <w:r w:rsidRPr="002360B0">
        <w:rPr>
          <w:rFonts w:eastAsia="Times New Roman" w:cs="Tahoma"/>
        </w:rPr>
        <w:t>03 - Considerando os propósitos das cláusulas acima, o licitante vencedor, como condição para a </w:t>
      </w:r>
    </w:p>
    <w:p w:rsidR="0087302A" w:rsidRPr="002360B0" w:rsidRDefault="0087302A" w:rsidP="0087302A">
      <w:pPr>
        <w:spacing w:after="0" w:line="285" w:lineRule="atLeast"/>
        <w:jc w:val="both"/>
        <w:rPr>
          <w:rFonts w:cs="Tahoma"/>
        </w:rPr>
      </w:pPr>
      <w:r w:rsidRPr="002360B0">
        <w:rPr>
          <w:rFonts w:eastAsia="Times New Roman" w:cs="Tahoma"/>
        </w:rPr>
        <w:t xml:space="preserve">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7302A" w:rsidRPr="002360B0" w:rsidRDefault="0087302A" w:rsidP="0087302A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  <w:b/>
          <w:bCs/>
          <w:u w:val="single"/>
        </w:rPr>
        <w:t>CLÁUSULA NONA</w:t>
      </w:r>
      <w:r w:rsidRPr="002360B0">
        <w:rPr>
          <w:rFonts w:cs="Tahoma"/>
          <w:b/>
          <w:bCs/>
        </w:rPr>
        <w:t xml:space="preserve"> – DAS PENALIDADES</w:t>
      </w:r>
      <w:r w:rsidRPr="002360B0">
        <w:rPr>
          <w:rFonts w:cs="Tahoma"/>
        </w:rPr>
        <w:t>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Cs/>
          <w:sz w:val="22"/>
          <w:szCs w:val="22"/>
        </w:rPr>
        <w:t>A recusa no fornecimento do objeto, sem motivo justificado e aceito pela Administração,constitui-se em falta grave</w:t>
      </w:r>
      <w:r w:rsidRPr="002360B0">
        <w:rPr>
          <w:rFonts w:asciiTheme="minorHAnsi" w:hAnsiTheme="minorHAnsi" w:cs="Tahoma"/>
          <w:sz w:val="22"/>
          <w:szCs w:val="22"/>
        </w:rPr>
        <w:t xml:space="preserve">, sujeitando a </w:t>
      </w:r>
      <w:r w:rsidRPr="002360B0">
        <w:rPr>
          <w:rFonts w:asciiTheme="minorHAnsi" w:hAnsiTheme="minorHAnsi" w:cs="Tahoma"/>
          <w:b/>
          <w:sz w:val="22"/>
          <w:szCs w:val="22"/>
        </w:rPr>
        <w:t>CONTRATADA,</w:t>
      </w:r>
      <w:r w:rsidRPr="002360B0">
        <w:rPr>
          <w:rFonts w:asciiTheme="minorHAnsi" w:hAnsiTheme="minorHAnsi" w:cs="Tahoma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7302A" w:rsidRPr="002360B0" w:rsidRDefault="0087302A" w:rsidP="0087302A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a) </w:t>
      </w:r>
      <w:r w:rsidRPr="002360B0">
        <w:rPr>
          <w:rFonts w:asciiTheme="minorHAnsi" w:hAnsiTheme="minorHAnsi" w:cs="Tahoma"/>
          <w:bCs/>
          <w:sz w:val="22"/>
          <w:szCs w:val="22"/>
        </w:rPr>
        <w:t xml:space="preserve">multa de 25 % sobre o valor total do contrato </w:t>
      </w:r>
      <w:r w:rsidRPr="002360B0">
        <w:rPr>
          <w:rFonts w:asciiTheme="minorHAnsi" w:hAnsiTheme="minorHAnsi" w:cs="Tahoma"/>
          <w:sz w:val="22"/>
          <w:szCs w:val="22"/>
        </w:rPr>
        <w:t>que, em caso de não pagamento, será encaminhada para a dívida ativa do Município, visando a sua execução;</w:t>
      </w:r>
    </w:p>
    <w:p w:rsidR="0087302A" w:rsidRPr="002360B0" w:rsidRDefault="0087302A" w:rsidP="0087302A">
      <w:pPr>
        <w:pStyle w:val="SemEspaamento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b)  Emissão e Publicação de Declaração de Inidoneidade em veículo de imprensa regional, estadual e nacional.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 RENÚNCIA E DA RESCISÃO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>O presente contrato poderá ser renunciado, por acordo entre as partes, mediante notificação expressa, com antecedência mínima de 10(dez) dias da data desejada para o encerramento, em conformidade com o art. 79, II da Lei 8 666/93. O presente contrato também poderá ser rescindido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 xml:space="preserve">CLÁUSULA DÉCIMA PRIMEIRA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– DA PUBLICAÇÃO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Para eficácia do presente instrumento, o </w:t>
      </w:r>
      <w:r w:rsidRPr="002360B0">
        <w:rPr>
          <w:rFonts w:asciiTheme="minorHAnsi" w:hAnsiTheme="minorHAnsi" w:cs="Tahoma"/>
          <w:b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SEGUNDA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DOS DOCUMENTOS INTEGRANTES </w:t>
      </w:r>
    </w:p>
    <w:p w:rsidR="0087302A" w:rsidRPr="002360B0" w:rsidRDefault="0087302A" w:rsidP="0087302A">
      <w:pPr>
        <w:spacing w:before="100" w:beforeAutospacing="1" w:after="100" w:afterAutospacing="1"/>
        <w:jc w:val="both"/>
        <w:rPr>
          <w:rFonts w:cs="Tahoma"/>
        </w:rPr>
      </w:pPr>
      <w:r w:rsidRPr="002360B0">
        <w:rPr>
          <w:rFonts w:cs="Tahoma"/>
        </w:rPr>
        <w:t xml:space="preserve">Independentemente de transcrição, farão parte integrante deste instrumento de Contrato o Edital de Licitação - Modalidade Pregão Presencial nº 058/2018, e a proposta final e adjudicada da </w:t>
      </w:r>
      <w:r w:rsidRPr="002360B0">
        <w:rPr>
          <w:rFonts w:cs="Tahoma"/>
          <w:b/>
          <w:bCs/>
        </w:rPr>
        <w:t>CONTRATADA</w:t>
      </w:r>
      <w:r w:rsidRPr="002360B0">
        <w:rPr>
          <w:rFonts w:cs="Tahoma"/>
        </w:rPr>
        <w:t>.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lastRenderedPageBreak/>
        <w:t>CLÁUSULA DÉCIMA TERCEIRA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DAS DISPOSIÇÕES FINAIS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 </w:t>
      </w:r>
      <w:r w:rsidRPr="002360B0">
        <w:rPr>
          <w:rFonts w:asciiTheme="minorHAnsi" w:hAnsiTheme="minorHAnsi" w:cs="Tahoma"/>
          <w:b/>
          <w:sz w:val="22"/>
          <w:szCs w:val="22"/>
        </w:rPr>
        <w:t>CONTRATADA</w:t>
      </w:r>
      <w:r w:rsidRPr="002360B0">
        <w:rPr>
          <w:rFonts w:asciiTheme="minorHAnsi" w:hAnsiTheme="minorHAnsi" w:cs="Tahoma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7302A" w:rsidRPr="002360B0" w:rsidRDefault="0087302A" w:rsidP="0087302A">
      <w:pPr>
        <w:pStyle w:val="NormalWeb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b/>
          <w:bCs/>
          <w:sz w:val="22"/>
          <w:szCs w:val="22"/>
          <w:u w:val="single"/>
        </w:rPr>
        <w:t>CLÁUSULA DÉCIMA QUARTA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 xml:space="preserve"> – DO FORO</w:t>
      </w:r>
      <w:r w:rsidRPr="002360B0">
        <w:rPr>
          <w:rFonts w:asciiTheme="minorHAnsi" w:hAnsiTheme="minorHAnsi" w:cs="Tahoma"/>
          <w:sz w:val="22"/>
          <w:szCs w:val="22"/>
        </w:rPr>
        <w:t>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2360B0">
        <w:rPr>
          <w:rFonts w:asciiTheme="minorHAnsi" w:hAnsiTheme="minorHAnsi" w:cs="Tahoma"/>
          <w:b/>
          <w:bCs/>
          <w:sz w:val="22"/>
          <w:szCs w:val="22"/>
        </w:rPr>
        <w:t>CONTRATANTE</w:t>
      </w:r>
      <w:r w:rsidRPr="002360B0">
        <w:rPr>
          <w:rFonts w:asciiTheme="minorHAnsi" w:hAnsiTheme="minorHAnsi" w:cs="Tahoma"/>
          <w:sz w:val="22"/>
          <w:szCs w:val="22"/>
        </w:rPr>
        <w:t>, na forma do art. 60 da Lei 8.666 de 21/06/1993. </w:t>
      </w:r>
    </w:p>
    <w:p w:rsidR="0087302A" w:rsidRPr="002360B0" w:rsidRDefault="0087302A" w:rsidP="0087302A">
      <w:pPr>
        <w:pStyle w:val="NormalWeb"/>
        <w:jc w:val="both"/>
        <w:rPr>
          <w:rFonts w:asciiTheme="minorHAnsi" w:hAnsiTheme="minorHAnsi" w:cs="Tahoma"/>
          <w:sz w:val="22"/>
          <w:szCs w:val="22"/>
        </w:rPr>
      </w:pPr>
      <w:r w:rsidRPr="002360B0">
        <w:rPr>
          <w:rFonts w:asciiTheme="minorHAnsi" w:hAnsiTheme="minorHAnsi" w:cs="Tahoma"/>
          <w:sz w:val="22"/>
          <w:szCs w:val="22"/>
        </w:rPr>
        <w:t xml:space="preserve">Ribeirão do Pinhal, </w:t>
      </w:r>
      <w:r w:rsidR="00E670C1">
        <w:rPr>
          <w:rFonts w:asciiTheme="minorHAnsi" w:hAnsiTheme="minorHAnsi" w:cs="Tahoma"/>
          <w:sz w:val="22"/>
          <w:szCs w:val="22"/>
        </w:rPr>
        <w:t>16 de outubro</w:t>
      </w:r>
      <w:r w:rsidRPr="002360B0">
        <w:rPr>
          <w:rFonts w:asciiTheme="minorHAnsi" w:hAnsiTheme="minorHAnsi" w:cs="Tahoma"/>
          <w:sz w:val="22"/>
          <w:szCs w:val="22"/>
        </w:rPr>
        <w:t xml:space="preserve"> de 2018.</w:t>
      </w: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302A" w:rsidRPr="002360B0" w:rsidRDefault="0087302A" w:rsidP="0087302A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87302A" w:rsidRPr="002360B0" w:rsidRDefault="0087302A" w:rsidP="0087302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="00E670C1" w:rsidRPr="00E670C1">
        <w:rPr>
          <w:rFonts w:asciiTheme="minorHAnsi" w:hAnsiTheme="minorHAnsi" w:cstheme="minorHAnsi"/>
          <w:sz w:val="22"/>
          <w:szCs w:val="22"/>
        </w:rPr>
        <w:t>DEIZELAINE XAVIER DIAS</w:t>
      </w:r>
    </w:p>
    <w:p w:rsidR="0087302A" w:rsidRDefault="0087302A" w:rsidP="0087302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PREFEITO MUNICIPAL</w:t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2360B0">
        <w:rPr>
          <w:rFonts w:asciiTheme="minorHAnsi" w:hAnsiTheme="minorHAnsi" w:cstheme="minorHAnsi"/>
          <w:sz w:val="22"/>
          <w:szCs w:val="22"/>
        </w:rPr>
        <w:tab/>
      </w:r>
      <w:r w:rsidRPr="00E670C1">
        <w:rPr>
          <w:rFonts w:asciiTheme="minorHAnsi" w:hAnsiTheme="minorHAnsi" w:cstheme="minorHAnsi"/>
          <w:sz w:val="22"/>
          <w:szCs w:val="22"/>
        </w:rPr>
        <w:t xml:space="preserve">CPF: </w:t>
      </w:r>
      <w:r w:rsidR="00E670C1" w:rsidRPr="00E670C1">
        <w:rPr>
          <w:rFonts w:asciiTheme="minorHAnsi" w:hAnsiTheme="minorHAnsi" w:cstheme="minorHAnsi"/>
          <w:sz w:val="22"/>
          <w:szCs w:val="22"/>
        </w:rPr>
        <w:t>030.608.399-05</w:t>
      </w:r>
    </w:p>
    <w:p w:rsidR="00E670C1" w:rsidRDefault="00E670C1" w:rsidP="0087302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670C1" w:rsidRPr="002360B0" w:rsidRDefault="00E670C1" w:rsidP="0087302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87302A" w:rsidRPr="002360B0" w:rsidRDefault="0087302A" w:rsidP="0087302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TESTEMUNHAS:</w:t>
      </w:r>
    </w:p>
    <w:p w:rsidR="0087302A" w:rsidRPr="002360B0" w:rsidRDefault="0087302A" w:rsidP="0087302A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7302A" w:rsidRPr="002360B0" w:rsidTr="00533602">
        <w:tc>
          <w:tcPr>
            <w:tcW w:w="4606" w:type="dxa"/>
          </w:tcPr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87302A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360B0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  <w:p w:rsidR="00E670C1" w:rsidRPr="002360B0" w:rsidRDefault="00E670C1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02A" w:rsidRPr="002360B0" w:rsidTr="00533602">
        <w:tc>
          <w:tcPr>
            <w:tcW w:w="4606" w:type="dxa"/>
          </w:tcPr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87302A" w:rsidRPr="002360B0" w:rsidRDefault="0087302A" w:rsidP="00533602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302A" w:rsidRPr="002360B0" w:rsidRDefault="0087302A" w:rsidP="0087302A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360B0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87302A" w:rsidRPr="002360B0" w:rsidRDefault="0087302A" w:rsidP="0087302A">
      <w:r w:rsidRPr="002360B0">
        <w:rPr>
          <w:rFonts w:cstheme="minorHAnsi"/>
        </w:rPr>
        <w:t>OAB N.º 35546 - DPTO JURÍDICO</w:t>
      </w:r>
    </w:p>
    <w:p w:rsidR="0087302A" w:rsidRPr="002360B0" w:rsidRDefault="0087302A" w:rsidP="0087302A"/>
    <w:p w:rsidR="00053911" w:rsidRDefault="00053911"/>
    <w:sectPr w:rsidR="00053911" w:rsidSect="00237B01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25" w:rsidRDefault="00441025" w:rsidP="00441025">
      <w:pPr>
        <w:spacing w:after="0" w:line="240" w:lineRule="auto"/>
      </w:pPr>
      <w:r>
        <w:separator/>
      </w:r>
    </w:p>
  </w:endnote>
  <w:endnote w:type="continuationSeparator" w:id="0">
    <w:p w:rsidR="00441025" w:rsidRDefault="00441025" w:rsidP="0044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E670C1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87302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87302A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25" w:rsidRDefault="00441025" w:rsidP="00441025">
      <w:pPr>
        <w:spacing w:after="0" w:line="240" w:lineRule="auto"/>
      </w:pPr>
      <w:r>
        <w:separator/>
      </w:r>
    </w:p>
  </w:footnote>
  <w:footnote w:type="continuationSeparator" w:id="0">
    <w:p w:rsidR="00441025" w:rsidRDefault="00441025" w:rsidP="0044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01" w:rsidRDefault="0087302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87302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E670C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02A"/>
    <w:rsid w:val="00053911"/>
    <w:rsid w:val="00102054"/>
    <w:rsid w:val="00441025"/>
    <w:rsid w:val="005630CC"/>
    <w:rsid w:val="0087302A"/>
    <w:rsid w:val="008A5EFA"/>
    <w:rsid w:val="00E670C1"/>
    <w:rsid w:val="00EC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3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73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730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730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7302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8730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87302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873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730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873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7302A"/>
    <w:rPr>
      <w:b/>
      <w:bCs/>
    </w:rPr>
  </w:style>
  <w:style w:type="character" w:customStyle="1" w:styleId="apple-converted-space">
    <w:name w:val="apple-converted-space"/>
    <w:basedOn w:val="Fontepargpadro"/>
    <w:rsid w:val="00873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3629</Words>
  <Characters>19598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2018-10-16T12:28:00Z</dcterms:created>
  <dcterms:modified xsi:type="dcterms:W3CDTF">2018-10-16T13:22:00Z</dcterms:modified>
</cp:coreProperties>
</file>