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64791" w:rsidRPr="00C51ED2" w:rsidTr="00ED3640">
        <w:trPr>
          <w:trHeight w:val="10208"/>
        </w:trPr>
        <w:tc>
          <w:tcPr>
            <w:tcW w:w="9322" w:type="dxa"/>
          </w:tcPr>
          <w:p w:rsidR="00C64791" w:rsidRPr="00C51ED2" w:rsidRDefault="00C64791" w:rsidP="009C632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C64791" w:rsidRPr="00C51ED2" w:rsidRDefault="00C64791" w:rsidP="009C632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 xml:space="preserve">/2025 CONTRATO N.º </w:t>
            </w:r>
            <w:r>
              <w:rPr>
                <w:rFonts w:ascii="Arial" w:hAnsi="Arial" w:cs="Arial"/>
                <w:b/>
                <w:sz w:val="15"/>
                <w:szCs w:val="15"/>
              </w:rPr>
              <w:t>302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C64791" w:rsidRPr="00C64791" w:rsidRDefault="00C64791" w:rsidP="009C6324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ITAPEMED IMPORTADORA E EXPORTADORA DE EQUIPAMENTOS HOSPITALARES LTDA CNPJ nº. 54.322.844/0001-88. Objeto: aquisição </w:t>
            </w:r>
            <w:r w:rsidRPr="00C64791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C64791">
              <w:rPr>
                <w:rFonts w:ascii="Arial" w:hAnsi="Arial" w:cs="Arial"/>
                <w:sz w:val="16"/>
                <w:szCs w:val="16"/>
              </w:rPr>
              <w:t>. 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Pr="00C64791">
              <w:rPr>
                <w:rFonts w:ascii="Arial" w:hAnsi="Arial" w:cs="Arial"/>
                <w:sz w:val="16"/>
                <w:szCs w:val="16"/>
              </w:rPr>
              <w:t>/12/2025, RODRIGO GOULART LUCHTEMBERG CPF/MF n.º 957.968.000-00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425"/>
              <w:gridCol w:w="709"/>
              <w:gridCol w:w="850"/>
              <w:gridCol w:w="992"/>
            </w:tblGrid>
            <w:tr w:rsidR="00C64791" w:rsidRPr="00C51ED2" w:rsidTr="00C64791">
              <w:tc>
                <w:tcPr>
                  <w:tcW w:w="568" w:type="dxa"/>
                </w:tcPr>
                <w:p w:rsidR="00C64791" w:rsidRPr="00C51ED2" w:rsidRDefault="00C64791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C64791" w:rsidRPr="00C51ED2" w:rsidRDefault="00C64791" w:rsidP="00C64791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678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42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C64791" w:rsidRPr="00C51ED2" w:rsidTr="00C64791"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625457</w:t>
                  </w:r>
                </w:p>
              </w:tc>
              <w:tc>
                <w:tcPr>
                  <w:tcW w:w="467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 xml:space="preserve">Autoclave Para Esterilização. </w:t>
                  </w: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Tipo: Horizontal De Bancada. Funcionamento: Gravitacional. Agente: Vapor Saturado Sob Pressão. Capacidade: De 26 A </w:t>
                  </w:r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45 L</w:t>
                  </w:r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Abastecimento De Água: Manual. Ciclos Mínimos: Teste E Básicos. Painel Controle: C/ Visor E Ajuste Digital. Número De Portas: </w:t>
                  </w:r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Porta. Componente: C/ Dispositivos De Segurança. Registro Do Ciclo: C/ Memória De Dados. </w:t>
                  </w:r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). MARCA ALT.</w:t>
                  </w:r>
                </w:p>
              </w:tc>
              <w:tc>
                <w:tcPr>
                  <w:tcW w:w="425" w:type="dxa"/>
                </w:tcPr>
                <w:p w:rsidR="00C64791" w:rsidRPr="00C64791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05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4.472,00</w:t>
                  </w: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22.360,00</w:t>
                  </w:r>
                </w:p>
              </w:tc>
            </w:tr>
          </w:tbl>
          <w:p w:rsidR="00C64791" w:rsidRPr="00C51ED2" w:rsidRDefault="00C64791" w:rsidP="00C6479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5"/>
                <w:szCs w:val="15"/>
              </w:rPr>
              <w:t>73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 xml:space="preserve">/2025 CONTRATO N.º </w:t>
            </w:r>
            <w:r>
              <w:rPr>
                <w:rFonts w:ascii="Arial" w:hAnsi="Arial" w:cs="Arial"/>
                <w:b/>
                <w:sz w:val="15"/>
                <w:szCs w:val="15"/>
              </w:rPr>
              <w:t>303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C64791" w:rsidRPr="00C64791" w:rsidRDefault="00C64791" w:rsidP="00C6479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K.C.R. INDÚSTRIA E COMÉRCIO DE EQUIPAMENTOS LTDA CNPJ nº. 09.251.627/0001-90. Objeto: aquisição </w:t>
            </w:r>
            <w:r w:rsidRPr="00C64791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C6479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/12/2025</w:t>
            </w:r>
            <w:r w:rsidRPr="00C64791">
              <w:rPr>
                <w:rFonts w:ascii="Arial" w:hAnsi="Arial" w:cs="Arial"/>
                <w:sz w:val="16"/>
                <w:szCs w:val="16"/>
              </w:rPr>
              <w:t>, MARCOS RIBEIRO JUNIOR CPF/MF n.º 226.722.708-80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425"/>
              <w:gridCol w:w="709"/>
              <w:gridCol w:w="850"/>
              <w:gridCol w:w="992"/>
            </w:tblGrid>
            <w:tr w:rsidR="00C64791" w:rsidRPr="00C51ED2" w:rsidTr="009C6324">
              <w:tc>
                <w:tcPr>
                  <w:tcW w:w="568" w:type="dxa"/>
                </w:tcPr>
                <w:p w:rsidR="00C64791" w:rsidRPr="00C51ED2" w:rsidRDefault="00C64791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678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42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C64791" w:rsidRPr="00C51ED2" w:rsidTr="00C64791">
              <w:trPr>
                <w:trHeight w:val="1523"/>
              </w:trPr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457135</w:t>
                  </w:r>
                </w:p>
              </w:tc>
              <w:tc>
                <w:tcPr>
                  <w:tcW w:w="467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 xml:space="preserve">Balança Eletrônica. </w:t>
                  </w: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Capacidade Pesagem: 25 KG. Voltagem: Bivolt V. Características Adicionais: Display/Concha Anatômica Polipropileno/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Anti-Germe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Tipo: 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Antropometrica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Para Pesar Bebês. Dimensões: 55 X 33 X 8,50 CM. Tipo Painel: Display </w:t>
                  </w:r>
                  <w:proofErr w:type="spellStart"/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Lcd</w:t>
                  </w:r>
                  <w:proofErr w:type="spellEnd"/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, Teclado Membrana Selada. Material: Polipropileno Injetado. </w:t>
                  </w:r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 RESERVA DE COTA MPE. MARCA LIDER</w:t>
                  </w:r>
                </w:p>
              </w:tc>
              <w:tc>
                <w:tcPr>
                  <w:tcW w:w="425" w:type="dxa"/>
                </w:tcPr>
                <w:p w:rsidR="00C64791" w:rsidRPr="00C64791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05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530,00</w:t>
                  </w: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2.650,00</w:t>
                  </w:r>
                </w:p>
              </w:tc>
            </w:tr>
          </w:tbl>
          <w:p w:rsidR="00C64791" w:rsidRPr="00C51ED2" w:rsidRDefault="00C64791" w:rsidP="00C6479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5"/>
                <w:szCs w:val="15"/>
              </w:rPr>
              <w:t>73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 xml:space="preserve">/2025 CONTRATO N.º </w:t>
            </w:r>
            <w:r>
              <w:rPr>
                <w:rFonts w:ascii="Arial" w:hAnsi="Arial" w:cs="Arial"/>
                <w:b/>
                <w:sz w:val="15"/>
                <w:szCs w:val="15"/>
              </w:rPr>
              <w:t>30</w:t>
            </w: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C64791" w:rsidRPr="00C64791" w:rsidRDefault="00C64791" w:rsidP="00C6479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M. CARREGA COMÉRCIO DE PRODUTOS HOSPITALARES LTDA CNPJ nº. 32.593.430/0001-50. Objeto: aquisição </w:t>
            </w:r>
            <w:r w:rsidRPr="00C64791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C6479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/12/2025</w:t>
            </w:r>
            <w:r w:rsidRPr="00C64791">
              <w:rPr>
                <w:rFonts w:ascii="Arial" w:hAnsi="Arial" w:cs="Arial"/>
                <w:sz w:val="16"/>
                <w:szCs w:val="16"/>
              </w:rPr>
              <w:t>, GUSTAVO HENRIQUE CARREGA CPF/MF n.º 084.265.219-16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425"/>
              <w:gridCol w:w="709"/>
              <w:gridCol w:w="850"/>
              <w:gridCol w:w="992"/>
            </w:tblGrid>
            <w:tr w:rsidR="00C64791" w:rsidRPr="00C51ED2" w:rsidTr="009C6324">
              <w:tc>
                <w:tcPr>
                  <w:tcW w:w="568" w:type="dxa"/>
                </w:tcPr>
                <w:p w:rsidR="00C64791" w:rsidRPr="00C51ED2" w:rsidRDefault="00C64791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678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42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C64791" w:rsidRPr="00C51ED2" w:rsidTr="009C6324">
              <w:trPr>
                <w:trHeight w:val="1523"/>
              </w:trPr>
              <w:tc>
                <w:tcPr>
                  <w:tcW w:w="56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45" w:type="dxa"/>
                </w:tcPr>
                <w:p w:rsidR="00C64791" w:rsidRPr="00D35CE8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470959</w:t>
                  </w:r>
                </w:p>
              </w:tc>
              <w:tc>
                <w:tcPr>
                  <w:tcW w:w="467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 xml:space="preserve">Bisturi Elétrico. </w:t>
                  </w: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Modelo: Radiofrequência. Modo De Operação Monopolar: Monopolar. Potência Máxima Corte Monopolar: De 100 A 150 W. Tipo De Coagulação: Coagulação E Spray. Tipo De Corte: Corte Puro E No Mínimo </w:t>
                  </w:r>
                  <w:proofErr w:type="gramStart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proofErr w:type="gram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Mistos. Modo De Operação: Bipolar, Micro E Macro. Opcionais: Ajuste Mecânico. Outros Componentes: Alarme. </w:t>
                  </w:r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). MARCA EMAI</w:t>
                  </w:r>
                </w:p>
              </w:tc>
              <w:tc>
                <w:tcPr>
                  <w:tcW w:w="425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3.450,00</w:t>
                  </w:r>
                </w:p>
              </w:tc>
              <w:tc>
                <w:tcPr>
                  <w:tcW w:w="992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6.900,00</w:t>
                  </w:r>
                </w:p>
              </w:tc>
            </w:tr>
            <w:tr w:rsidR="00C64791" w:rsidRPr="00C51ED2" w:rsidTr="009C6324">
              <w:trPr>
                <w:trHeight w:val="1523"/>
              </w:trPr>
              <w:tc>
                <w:tcPr>
                  <w:tcW w:w="56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845" w:type="dxa"/>
                </w:tcPr>
                <w:p w:rsidR="00C64791" w:rsidRPr="00D35CE8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380906</w:t>
                  </w:r>
                </w:p>
              </w:tc>
              <w:tc>
                <w:tcPr>
                  <w:tcW w:w="467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 xml:space="preserve">Carro Aço Inox Para Curativo. </w:t>
                  </w: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 Estrutura: Estrutura Tubular E Tampos Em Aço Inox. Tipo Rodízio: Rodízios Giratórios. Acessórios: </w:t>
                  </w:r>
                  <w:proofErr w:type="spellStart"/>
                  <w:proofErr w:type="gramStart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Gradil,</w:t>
                  </w:r>
                  <w:proofErr w:type="gram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Suporte</w:t>
                  </w:r>
                  <w:proofErr w:type="spell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P/Balde E Bacia. Medida: 45 X 75 X </w:t>
                  </w:r>
                  <w:proofErr w:type="gramStart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80 CM</w:t>
                  </w:r>
                  <w:proofErr w:type="gram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Outros Componentes: Balde Aço Inox 5l, Bacia Aço Inox. </w:t>
                  </w:r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e Secretaria) RESERVA DE COTA MPE. MARCA LIFENOX</w:t>
                  </w:r>
                </w:p>
              </w:tc>
              <w:tc>
                <w:tcPr>
                  <w:tcW w:w="425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992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3.480,00</w:t>
                  </w:r>
                </w:p>
              </w:tc>
            </w:tr>
            <w:tr w:rsidR="00C64791" w:rsidRPr="00C51ED2" w:rsidTr="00C64791">
              <w:trPr>
                <w:trHeight w:val="784"/>
              </w:trPr>
              <w:tc>
                <w:tcPr>
                  <w:tcW w:w="56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845" w:type="dxa"/>
                </w:tcPr>
                <w:p w:rsidR="00C64791" w:rsidRPr="00D35CE8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346785</w:t>
                  </w:r>
                </w:p>
              </w:tc>
              <w:tc>
                <w:tcPr>
                  <w:tcW w:w="467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color w:val="495057"/>
                      <w:sz w:val="16"/>
                      <w:szCs w:val="16"/>
                      <w:shd w:val="clear" w:color="auto" w:fill="FFFFFF"/>
                    </w:rPr>
                  </w:pPr>
                  <w:proofErr w:type="spellStart"/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Colposcópio</w:t>
                  </w:r>
                  <w:proofErr w:type="spellEnd"/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Tipo: Tela Plana, Objetiva 300 Mm, 480 Linhas. Capacidade Aumento: 3 A 17 Vezes. Tensão Alimentação: 110/220 V. Características Adicionais: </w:t>
                  </w:r>
                  <w:proofErr w:type="gramStart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Ocular 12,5</w:t>
                  </w:r>
                  <w:proofErr w:type="gram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Vezes. Frequência: 60 HZ</w:t>
                  </w:r>
                  <w:r w:rsidRPr="00D35CE8">
                    <w:rPr>
                      <w:rFonts w:ascii="Arial" w:hAnsi="Arial" w:cs="Arial"/>
                      <w:color w:val="495057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(Emenda UBS da Família). MARCA GG</w:t>
                  </w:r>
                </w:p>
              </w:tc>
              <w:tc>
                <w:tcPr>
                  <w:tcW w:w="425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992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</w:tr>
            <w:tr w:rsidR="00C64791" w:rsidRPr="00C51ED2" w:rsidTr="00C64791">
              <w:trPr>
                <w:trHeight w:val="1136"/>
              </w:trPr>
              <w:tc>
                <w:tcPr>
                  <w:tcW w:w="56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45" w:type="dxa"/>
                </w:tcPr>
                <w:p w:rsidR="00C64791" w:rsidRPr="00D35CE8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399823</w:t>
                  </w:r>
                </w:p>
              </w:tc>
              <w:tc>
                <w:tcPr>
                  <w:tcW w:w="467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 xml:space="preserve">Mesa De </w:t>
                  </w:r>
                  <w:proofErr w:type="spellStart"/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Mayo</w:t>
                  </w:r>
                  <w:proofErr w:type="spellEnd"/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Material: Estrutura Tubular Em Aço Inox. Altura: Altura Regulável C/Anel Fixação No Tubo Da Coluna. Componentes: Bandeja Aço Inox 50 X </w:t>
                  </w:r>
                  <w:proofErr w:type="gramStart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40cm</w:t>
                  </w:r>
                  <w:proofErr w:type="gram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Outros Componentes: </w:t>
                  </w:r>
                  <w:proofErr w:type="gramStart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proofErr w:type="gramEnd"/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Rodízios De 2". </w:t>
                  </w:r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D35CE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e Secretaria) MARCA LIFENOX</w:t>
                  </w:r>
                </w:p>
              </w:tc>
              <w:tc>
                <w:tcPr>
                  <w:tcW w:w="425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D35CE8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260,00</w:t>
                  </w:r>
                </w:p>
              </w:tc>
              <w:tc>
                <w:tcPr>
                  <w:tcW w:w="992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1.560,00</w:t>
                  </w:r>
                </w:p>
              </w:tc>
            </w:tr>
            <w:tr w:rsidR="00C64791" w:rsidRPr="00C51ED2" w:rsidTr="00C64791">
              <w:trPr>
                <w:trHeight w:val="144"/>
              </w:trPr>
              <w:tc>
                <w:tcPr>
                  <w:tcW w:w="56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C64791" w:rsidRPr="00D35CE8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678" w:type="dxa"/>
                </w:tcPr>
                <w:p w:rsidR="00C64791" w:rsidRPr="00D35CE8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425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4791" w:rsidRPr="00D35CE8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C64791" w:rsidRPr="00D35CE8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5CE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19.940,00</w:t>
                  </w:r>
                </w:p>
              </w:tc>
            </w:tr>
          </w:tbl>
          <w:p w:rsidR="00C64791" w:rsidRPr="00C64791" w:rsidRDefault="00C64791" w:rsidP="00C64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073/2025 CONTRATO N.º 30</w:t>
            </w:r>
            <w:r w:rsidRPr="00C6479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C64791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6479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64791" w:rsidRPr="00C64791" w:rsidRDefault="00C64791" w:rsidP="00C6479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CIRÚRGICA IZAMED LTDA CNPJ nº. 12.967.916/0001-02. Objeto: aquisição </w:t>
            </w:r>
            <w:r w:rsidRPr="00C64791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C6479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/12/2025</w:t>
            </w:r>
            <w:r w:rsidRPr="00C64791">
              <w:rPr>
                <w:rFonts w:ascii="Arial" w:hAnsi="Arial" w:cs="Arial"/>
                <w:sz w:val="16"/>
                <w:szCs w:val="16"/>
              </w:rPr>
              <w:t xml:space="preserve">, SILVIO VIGIDO CPF/MF n.º </w:t>
            </w:r>
            <w:r w:rsidRPr="00C64791">
              <w:rPr>
                <w:rFonts w:ascii="Arial" w:hAnsi="Arial" w:cs="Arial"/>
                <w:sz w:val="16"/>
                <w:szCs w:val="16"/>
              </w:rPr>
              <w:lastRenderedPageBreak/>
              <w:t>264.026.208-40e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425"/>
              <w:gridCol w:w="709"/>
              <w:gridCol w:w="850"/>
              <w:gridCol w:w="992"/>
            </w:tblGrid>
            <w:tr w:rsidR="00C64791" w:rsidRPr="00C51ED2" w:rsidTr="009C6324">
              <w:tc>
                <w:tcPr>
                  <w:tcW w:w="568" w:type="dxa"/>
                </w:tcPr>
                <w:p w:rsidR="00C64791" w:rsidRPr="00C51ED2" w:rsidRDefault="00C64791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678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42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C64791" w:rsidRPr="00C51ED2" w:rsidTr="009C6324">
              <w:trPr>
                <w:trHeight w:val="1523"/>
              </w:trPr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407919</w:t>
                  </w:r>
                </w:p>
              </w:tc>
              <w:tc>
                <w:tcPr>
                  <w:tcW w:w="467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 xml:space="preserve">Cadeira Clínica. </w:t>
                  </w: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Aplicação: Odontologia. Material: Tubo De Aço. Acabamento Da Estrutura: Pintura Poliuretana. Tipo De Assento: Assento Giratório E Altura Regulável. Acabamento Do Assento: Poliuretano Injetado, </w:t>
                  </w:r>
                  <w:proofErr w:type="spellStart"/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Pvc</w:t>
                  </w:r>
                  <w:proofErr w:type="spellEnd"/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Laminado Sem Costura. Tipo De Pés: Com </w:t>
                  </w:r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5</w:t>
                  </w:r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Rodizíos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Acionamento: </w:t>
                  </w:r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 Gás</w:t>
                  </w:r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Inclinação Encosto: Encosto Regulagem Horizontal. </w:t>
                  </w:r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(Emenda UBS Santa Terezinha) RESERVA DE COTA MPE. MARCA C.C. BAKSYSTEM</w:t>
                  </w:r>
                </w:p>
              </w:tc>
              <w:tc>
                <w:tcPr>
                  <w:tcW w:w="425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494,00</w:t>
                  </w: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1.976,00</w:t>
                  </w:r>
                </w:p>
              </w:tc>
            </w:tr>
          </w:tbl>
          <w:p w:rsidR="00C64791" w:rsidRPr="00C64791" w:rsidRDefault="00C64791" w:rsidP="00C64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073/2025 CONTRATO N.º 30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C64791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6479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64791" w:rsidRPr="00C64791" w:rsidRDefault="00C64791" w:rsidP="00C6479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GOLD MEDICA LTDA CNPJ nº. 37.656.764/0001-40. Objeto: aquisição </w:t>
            </w:r>
            <w:r w:rsidRPr="00C64791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C6479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/12/2025</w:t>
            </w:r>
            <w:r w:rsidRPr="00C64791">
              <w:rPr>
                <w:rFonts w:ascii="Arial" w:hAnsi="Arial" w:cs="Arial"/>
                <w:sz w:val="16"/>
                <w:szCs w:val="16"/>
              </w:rPr>
              <w:t>, LUANA BRAZ PRELIS, CPF/MF n.º 084.837.339-19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709"/>
              <w:gridCol w:w="709"/>
              <w:gridCol w:w="850"/>
              <w:gridCol w:w="992"/>
            </w:tblGrid>
            <w:tr w:rsidR="00C64791" w:rsidRPr="00C51ED2" w:rsidTr="00ED3640">
              <w:tc>
                <w:tcPr>
                  <w:tcW w:w="568" w:type="dxa"/>
                </w:tcPr>
                <w:p w:rsidR="00C64791" w:rsidRPr="00C51ED2" w:rsidRDefault="00C64791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394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C64791" w:rsidRPr="00C51ED2" w:rsidRDefault="00C64791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C64791" w:rsidRPr="00C51ED2" w:rsidTr="00ED3640">
              <w:trPr>
                <w:trHeight w:val="1018"/>
              </w:trPr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452796</w:t>
                  </w:r>
                </w:p>
              </w:tc>
              <w:tc>
                <w:tcPr>
                  <w:tcW w:w="4394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 xml:space="preserve">Cloreto De Sódio. 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Concentraçao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: 0,9 %. Forma 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Farmaceutica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: Solução Injetável. 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Caracteristica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Adicional: Sistema Fechado. Características Adicionais </w:t>
                  </w:r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: Bolsa/Frasco Isento De </w:t>
                  </w:r>
                  <w:proofErr w:type="spell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Pvc</w:t>
                  </w:r>
                  <w:proofErr w:type="spell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proofErr w:type="gramStart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250ml</w:t>
                  </w:r>
                  <w:proofErr w:type="gramEnd"/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 RESERVA DE COTA MPE. MARCA HALEX STAR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6,09</w:t>
                  </w: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6.090,00</w:t>
                  </w:r>
                </w:p>
              </w:tc>
            </w:tr>
            <w:tr w:rsidR="00C64791" w:rsidRPr="00C51ED2" w:rsidTr="00ED3640">
              <w:trPr>
                <w:trHeight w:val="467"/>
              </w:trPr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269622</w:t>
                  </w:r>
                </w:p>
              </w:tc>
              <w:tc>
                <w:tcPr>
                  <w:tcW w:w="4394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 xml:space="preserve">Glicerol. </w:t>
                  </w: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Dosagem: 12%. Apresentação: Clister. </w:t>
                  </w:r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). MARCA JP FARMA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27,00</w:t>
                  </w: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2.700,00</w:t>
                  </w:r>
                </w:p>
              </w:tc>
            </w:tr>
            <w:tr w:rsidR="00C64791" w:rsidRPr="00C51ED2" w:rsidTr="00ED3640">
              <w:trPr>
                <w:trHeight w:val="1042"/>
              </w:trPr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606113</w:t>
                  </w:r>
                </w:p>
              </w:tc>
              <w:tc>
                <w:tcPr>
                  <w:tcW w:w="4394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 xml:space="preserve">Higrômetro. </w:t>
                  </w: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Tipo: De Referência. Tipo Sensor: Duplo Estágio. Precisão Humidade: 0,45% °C. Precisão Temperatura: ± 0,10 °C. Ponto De Orvalho: ± 0,15 °C. Temperatura De Trabalho: 20 A 50 °C. </w:t>
                  </w:r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Central, Posto </w:t>
                  </w:r>
                  <w:proofErr w:type="spellStart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C6479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). MARCA AK28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C64791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380,50</w:t>
                  </w: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1.902,50</w:t>
                  </w:r>
                </w:p>
              </w:tc>
            </w:tr>
            <w:tr w:rsidR="00C64791" w:rsidRPr="00C51ED2" w:rsidTr="00ED3640">
              <w:trPr>
                <w:trHeight w:val="207"/>
              </w:trPr>
              <w:tc>
                <w:tcPr>
                  <w:tcW w:w="568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C64791" w:rsidRPr="00C64791" w:rsidRDefault="00C64791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394" w:type="dxa"/>
                </w:tcPr>
                <w:p w:rsidR="00C64791" w:rsidRPr="00C64791" w:rsidRDefault="00C64791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4791" w:rsidRPr="00C64791" w:rsidRDefault="00C64791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C64791" w:rsidRPr="00C64791" w:rsidRDefault="00C64791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6479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10.692,50</w:t>
                  </w:r>
                </w:p>
              </w:tc>
            </w:tr>
          </w:tbl>
          <w:p w:rsidR="00ED3640" w:rsidRPr="00C64791" w:rsidRDefault="00ED3640" w:rsidP="00ED3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073/2025 CONTRATO N.º 30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C64791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6479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D3640" w:rsidRPr="00C64791" w:rsidRDefault="00ED3640" w:rsidP="00ED3640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r w:rsidRPr="00ED3640">
              <w:rPr>
                <w:rFonts w:ascii="Arial" w:hAnsi="Arial" w:cs="Arial"/>
                <w:sz w:val="16"/>
                <w:szCs w:val="16"/>
              </w:rPr>
              <w:t xml:space="preserve">contrato celebrado entre o Município de Ribeirão do Pinhal, CNPJ n.º 76.968.064/0001-42 e a empresa YNEMED PRODUTOS MÉDICOS E HOSPITALARES LTDA CNPJ nº. 51.740.794/0001-60. Objeto: aquisição </w:t>
            </w:r>
            <w:r w:rsidRPr="00ED3640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ED364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/12/2025</w:t>
            </w:r>
            <w:r w:rsidRPr="00ED3640">
              <w:rPr>
                <w:rFonts w:ascii="Arial" w:hAnsi="Arial" w:cs="Arial"/>
                <w:sz w:val="16"/>
                <w:szCs w:val="16"/>
              </w:rPr>
              <w:t>, IRENE LOPES SALVI CPF/MF n.º 515.443.269-04</w:t>
            </w:r>
            <w:proofErr w:type="gramStart"/>
            <w:r w:rsidRPr="00ED364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ED3640">
              <w:rPr>
                <w:rFonts w:ascii="Arial" w:hAnsi="Arial" w:cs="Arial"/>
                <w:sz w:val="16"/>
                <w:szCs w:val="16"/>
              </w:rPr>
              <w:t>e DARTAGNAN CALIXTO FRAIZ, CPF/MF n.º 171.895.279-15</w:t>
            </w:r>
            <w:r w:rsidRPr="00C64791">
              <w:rPr>
                <w:rFonts w:ascii="Arial" w:hAnsi="Arial" w:cs="Arial"/>
                <w:sz w:val="16"/>
                <w:szCs w:val="16"/>
              </w:rPr>
              <w:t>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709"/>
              <w:gridCol w:w="709"/>
              <w:gridCol w:w="850"/>
              <w:gridCol w:w="992"/>
            </w:tblGrid>
            <w:tr w:rsidR="00ED3640" w:rsidRPr="00C51ED2" w:rsidTr="009C6324">
              <w:tc>
                <w:tcPr>
                  <w:tcW w:w="568" w:type="dxa"/>
                </w:tcPr>
                <w:p w:rsidR="00ED3640" w:rsidRPr="00C51ED2" w:rsidRDefault="00ED3640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394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ED3640" w:rsidRPr="00C51ED2" w:rsidTr="009C6324">
              <w:trPr>
                <w:trHeight w:val="1018"/>
              </w:trPr>
              <w:tc>
                <w:tcPr>
                  <w:tcW w:w="568" w:type="dxa"/>
                </w:tcPr>
                <w:p w:rsidR="00ED3640" w:rsidRPr="00ED3640" w:rsidRDefault="00ED3640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45" w:type="dxa"/>
                </w:tcPr>
                <w:p w:rsidR="00ED3640" w:rsidRPr="00ED3640" w:rsidRDefault="00ED3640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435786</w:t>
                  </w:r>
                </w:p>
              </w:tc>
              <w:tc>
                <w:tcPr>
                  <w:tcW w:w="4394" w:type="dxa"/>
                </w:tcPr>
                <w:p w:rsidR="00ED3640" w:rsidRPr="00ED3640" w:rsidRDefault="00ED3640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 xml:space="preserve">Nebulizador. </w:t>
                  </w:r>
                  <w:r w:rsidRPr="00ED3640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Tipo*: Ultrassônico. Modelo: De Mesa. Ajuste: Com Interruptor Liga/Desliga. Material: Compressor C/ Gabinete Plástico. Componentes: C/ No Mínimo: Máscara, Traqueia, Frasco Graduado. Com 04 máscaras, intensidade de névoa controlada. </w:t>
                  </w:r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(Emenda UBS Santa Terezinha, UBS da Família, UBS Vila Almeida,</w:t>
                  </w:r>
                  <w:proofErr w:type="gramStart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Posto </w:t>
                  </w:r>
                  <w:proofErr w:type="spellStart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). MARCA PREMIUM</w:t>
                  </w:r>
                </w:p>
              </w:tc>
              <w:tc>
                <w:tcPr>
                  <w:tcW w:w="709" w:type="dxa"/>
                </w:tcPr>
                <w:p w:rsidR="00ED3640" w:rsidRPr="00ED3640" w:rsidRDefault="00ED3640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ED3640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ED3640" w:rsidRPr="00ED3640" w:rsidRDefault="00ED3640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ED3640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ED3640" w:rsidRPr="00ED3640" w:rsidRDefault="00ED3640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>1.090,84</w:t>
                  </w:r>
                </w:p>
              </w:tc>
              <w:tc>
                <w:tcPr>
                  <w:tcW w:w="992" w:type="dxa"/>
                </w:tcPr>
                <w:p w:rsidR="00ED3640" w:rsidRPr="00ED3640" w:rsidRDefault="00ED3640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4.363,36</w:t>
                  </w:r>
                </w:p>
              </w:tc>
            </w:tr>
          </w:tbl>
          <w:p w:rsidR="00ED3640" w:rsidRPr="00C64791" w:rsidRDefault="00ED3640" w:rsidP="00ED3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479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073/2025 CONTRATO N.º 30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C64791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6479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D3640" w:rsidRPr="00ED3640" w:rsidRDefault="00ED3640" w:rsidP="00ED3640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3640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EQUIMED EQUIPAMENTOS MÉDICOS HOSPITALARES LTDA CNPJ nº. 38.408.899/0001-59. Objeto: aquisição </w:t>
            </w:r>
            <w:r w:rsidRPr="00ED3640">
              <w:rPr>
                <w:rFonts w:ascii="Arial" w:hAnsi="Arial" w:cs="Arial"/>
                <w:color w:val="000000"/>
                <w:sz w:val="16"/>
                <w:szCs w:val="16"/>
              </w:rPr>
              <w:t>de materiais e equipamentos médicos e odontológicos em atendimento a emendas impositivas</w:t>
            </w:r>
            <w:r w:rsidRPr="00ED364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Vigência 1</w:t>
            </w:r>
            <w:r w:rsidR="000D3E59">
              <w:rPr>
                <w:rFonts w:ascii="Arial" w:hAnsi="Arial" w:cs="Arial"/>
                <w:sz w:val="16"/>
                <w:szCs w:val="16"/>
              </w:rPr>
              <w:t>1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/12/2026. Data de assinatura: 1</w:t>
            </w:r>
            <w:r w:rsidR="000D3E59">
              <w:rPr>
                <w:rFonts w:ascii="Arial" w:hAnsi="Arial" w:cs="Arial"/>
                <w:sz w:val="16"/>
                <w:szCs w:val="16"/>
              </w:rPr>
              <w:t>2</w:t>
            </w:r>
            <w:r w:rsidR="000D3E59" w:rsidRPr="00C64791">
              <w:rPr>
                <w:rFonts w:ascii="Arial" w:hAnsi="Arial" w:cs="Arial"/>
                <w:sz w:val="16"/>
                <w:szCs w:val="16"/>
              </w:rPr>
              <w:t>/12/2025</w:t>
            </w:r>
            <w:bookmarkStart w:id="0" w:name="_GoBack"/>
            <w:bookmarkEnd w:id="0"/>
            <w:r w:rsidRPr="00ED3640">
              <w:rPr>
                <w:rFonts w:ascii="Arial" w:hAnsi="Arial" w:cs="Arial"/>
                <w:sz w:val="16"/>
                <w:szCs w:val="16"/>
              </w:rPr>
              <w:t>, SÉRGIO EDELBERTO VALÉRIO JÚNIOR CPF/MF n.º 039.410.899-00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709"/>
              <w:gridCol w:w="709"/>
              <w:gridCol w:w="850"/>
              <w:gridCol w:w="992"/>
            </w:tblGrid>
            <w:tr w:rsidR="00ED3640" w:rsidRPr="00C51ED2" w:rsidTr="009C6324">
              <w:tc>
                <w:tcPr>
                  <w:tcW w:w="568" w:type="dxa"/>
                </w:tcPr>
                <w:p w:rsidR="00ED3640" w:rsidRPr="00C51ED2" w:rsidRDefault="00ED3640" w:rsidP="009C6324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92321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1A10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CÓDIGO BR</w:t>
                  </w:r>
                </w:p>
              </w:tc>
              <w:tc>
                <w:tcPr>
                  <w:tcW w:w="4394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ED3640" w:rsidRPr="00C51ED2" w:rsidRDefault="00ED3640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ED3640" w:rsidRPr="00C51ED2" w:rsidTr="009C6324">
              <w:trPr>
                <w:trHeight w:val="1018"/>
              </w:trPr>
              <w:tc>
                <w:tcPr>
                  <w:tcW w:w="568" w:type="dxa"/>
                </w:tcPr>
                <w:p w:rsidR="00ED3640" w:rsidRPr="00ED3640" w:rsidRDefault="00ED3640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45" w:type="dxa"/>
                </w:tcPr>
                <w:p w:rsidR="00ED3640" w:rsidRPr="00ED3640" w:rsidRDefault="00ED3640" w:rsidP="009C63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631661</w:t>
                  </w:r>
                </w:p>
              </w:tc>
              <w:tc>
                <w:tcPr>
                  <w:tcW w:w="4394" w:type="dxa"/>
                </w:tcPr>
                <w:p w:rsidR="00ED3640" w:rsidRPr="00ED3640" w:rsidRDefault="00ED3640" w:rsidP="009C632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>Otoscópio</w:t>
                  </w:r>
                  <w:proofErr w:type="spellEnd"/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ED3640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Tipo: Clínico, Portátil. Características Adicionais: Led Alta Intensidade, Transmissão Por Fibra Óptica. Zoom Óptico: Mínimo </w:t>
                  </w:r>
                  <w:proofErr w:type="gramStart"/>
                  <w:r w:rsidRPr="00ED3640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proofErr w:type="gramEnd"/>
                  <w:r w:rsidRPr="00ED3640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Vezes. Componentes: Jogo De Espéculos Reutilizáveis. Tipo Proteção: Estojo Próprio. Alimentação: Bivolt Automático, Bateria Recarregável. </w:t>
                  </w:r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(Emenda UBS Santa Terezinha, UBS da Família, UBS Vila Almeida, Posto </w:t>
                  </w:r>
                  <w:proofErr w:type="spellStart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Triolândia</w:t>
                  </w:r>
                  <w:proofErr w:type="spellEnd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</w:t>
                  </w:r>
                  <w:proofErr w:type="gramStart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ED36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RESERVA DE COTA MPE. MARCA DOCTOR DEVICES</w:t>
                  </w:r>
                </w:p>
              </w:tc>
              <w:tc>
                <w:tcPr>
                  <w:tcW w:w="709" w:type="dxa"/>
                </w:tcPr>
                <w:p w:rsidR="00ED3640" w:rsidRPr="00ED3640" w:rsidRDefault="00ED3640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ED364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640" w:rsidRPr="00ED3640" w:rsidRDefault="00ED3640" w:rsidP="009C6324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ED3640">
                    <w:rPr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0" w:type="dxa"/>
                </w:tcPr>
                <w:p w:rsidR="00ED3640" w:rsidRPr="00ED3640" w:rsidRDefault="00ED3640" w:rsidP="009C632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sz w:val="16"/>
                      <w:szCs w:val="16"/>
                    </w:rPr>
                    <w:t>740,00</w:t>
                  </w:r>
                </w:p>
              </w:tc>
              <w:tc>
                <w:tcPr>
                  <w:tcW w:w="992" w:type="dxa"/>
                </w:tcPr>
                <w:p w:rsidR="00ED3640" w:rsidRPr="00ED3640" w:rsidRDefault="00ED3640" w:rsidP="009C6324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ED364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7.400,00</w:t>
                  </w:r>
                </w:p>
              </w:tc>
            </w:tr>
          </w:tbl>
          <w:p w:rsidR="00C64791" w:rsidRPr="00C51ED2" w:rsidRDefault="00C64791" w:rsidP="009C632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C64791" w:rsidRDefault="00C64791" w:rsidP="00ED3640"/>
    <w:sectPr w:rsidR="00C64791" w:rsidSect="00D9148C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Condensed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86" w:rsidRDefault="000D3E59">
    <w:pPr>
      <w:pStyle w:val="Rodap"/>
      <w:pBdr>
        <w:bottom w:val="single" w:sz="12" w:space="1" w:color="auto"/>
      </w:pBdr>
      <w:jc w:val="center"/>
      <w:rPr>
        <w:sz w:val="20"/>
      </w:rPr>
    </w:pPr>
  </w:p>
  <w:p w:rsidR="00370886" w:rsidRPr="00A7116E" w:rsidRDefault="000D3E59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370886" w:rsidRPr="00A7116E" w:rsidRDefault="000D3E59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86" w:rsidRPr="00A7116E" w:rsidRDefault="000D3E59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A2EDC98" wp14:editId="42D173A8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370886" w:rsidRPr="00A7116E" w:rsidRDefault="000D3E59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370886" w:rsidRDefault="000D3E5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73"/>
    <w:rsid w:val="000D3E59"/>
    <w:rsid w:val="0045566C"/>
    <w:rsid w:val="004D0373"/>
    <w:rsid w:val="00C64791"/>
    <w:rsid w:val="00E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9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47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647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6479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6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6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C64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C64791"/>
    <w:rPr>
      <w:rFonts w:ascii="RobotoCondensed-Regular" w:hAnsi="RobotoCondensed-Regular" w:hint="default"/>
      <w:b w:val="0"/>
      <w:bCs w:val="0"/>
      <w:i w:val="0"/>
      <w:iCs w:val="0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791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647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pb-0">
    <w:name w:val="pb-0"/>
    <w:basedOn w:val="Normal"/>
    <w:rsid w:val="00C6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4791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9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47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647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6479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6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6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C64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C64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C64791"/>
    <w:rPr>
      <w:rFonts w:ascii="RobotoCondensed-Regular" w:hAnsi="RobotoCondensed-Regular" w:hint="default"/>
      <w:b w:val="0"/>
      <w:bCs w:val="0"/>
      <w:i w:val="0"/>
      <w:iCs w:val="0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791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647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pb-0">
    <w:name w:val="pb-0"/>
    <w:basedOn w:val="Normal"/>
    <w:rsid w:val="00C6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4791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1382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2025-12-15T13:46:00Z</dcterms:created>
  <dcterms:modified xsi:type="dcterms:W3CDTF">2025-12-15T14:05:00Z</dcterms:modified>
</cp:coreProperties>
</file>