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C6" w:rsidRDefault="00AE3CC6" w:rsidP="00AE3CC6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E3CC6" w:rsidRPr="00B1049C" w:rsidTr="00855331">
        <w:trPr>
          <w:trHeight w:val="4808"/>
        </w:trPr>
        <w:tc>
          <w:tcPr>
            <w:tcW w:w="9322" w:type="dxa"/>
          </w:tcPr>
          <w:p w:rsidR="00AE3CC6" w:rsidRPr="005B5C25" w:rsidRDefault="00AE3CC6" w:rsidP="00C96B00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AE3CC6" w:rsidRPr="00036A18" w:rsidRDefault="00AE3CC6" w:rsidP="00C96B00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 xml:space="preserve">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N.º 12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AE3CC6" w:rsidRPr="00AE3CC6" w:rsidRDefault="00AE3CC6" w:rsidP="00AE3CC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CC6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AE3CC6">
              <w:rPr>
                <w:rFonts w:ascii="Arial" w:hAnsi="Arial" w:cs="Arial"/>
                <w:sz w:val="16"/>
                <w:szCs w:val="16"/>
              </w:rPr>
              <w:t>contrato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 celebrado entre o Município de Ribeirão do Pinhal, CNPJ n.º 76.968.064/0001-42 e a empresa M.L. COMÉRCIO E REPRESENTAÇÕES LTDA CNPJ nº. 44.651.148/0001-61. Objeto: </w:t>
            </w:r>
            <w:r w:rsidRPr="00AE3CC6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AE3CC6">
              <w:rPr>
                <w:rFonts w:ascii="Arial" w:hAnsi="Arial" w:cs="Arial"/>
                <w:sz w:val="16"/>
                <w:szCs w:val="16"/>
              </w:rPr>
              <w:t>quisição de brinquedos e artigos para presente conforme solicitação da Secretaria de Assistência Social</w:t>
            </w:r>
            <w:r w:rsidRPr="00AE3CC6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.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 Vigência 24/04/2026. Data de assinatura: 25/04/2025, MARIA LAURA ALTERMANN PALOMAS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3CC6">
              <w:rPr>
                <w:rFonts w:ascii="Arial" w:hAnsi="Arial" w:cs="Arial"/>
                <w:sz w:val="16"/>
                <w:szCs w:val="16"/>
              </w:rPr>
              <w:t>CPF: 026.184.670-19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         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AE3CC6" w:rsidRPr="00EF6151" w:rsidTr="00C96B00">
              <w:trPr>
                <w:trHeight w:val="179"/>
              </w:trPr>
              <w:tc>
                <w:tcPr>
                  <w:tcW w:w="421" w:type="dxa"/>
                </w:tcPr>
                <w:p w:rsidR="00AE3CC6" w:rsidRPr="0072270B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AE3CC6" w:rsidRPr="001A1053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E3CC6" w:rsidRPr="00E5371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E3CC6" w:rsidRPr="007A3553" w:rsidTr="00C96B00">
              <w:tc>
                <w:tcPr>
                  <w:tcW w:w="421" w:type="dxa"/>
                </w:tcPr>
                <w:p w:rsidR="00AE3CC6" w:rsidRPr="00AE3CC6" w:rsidRDefault="00AE3CC6" w:rsidP="00AE3CC6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476036</w:t>
                  </w: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 xml:space="preserve">Bola Futebol. </w:t>
                  </w:r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Material: </w:t>
                  </w:r>
                  <w:proofErr w:type="spellStart"/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Peso Cheia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: 315 A 325 G. Circunferência: 64 CM. Modelo: Futebol De Campo. </w:t>
                  </w:r>
                  <w:r w:rsidRPr="00AE3CC6">
                    <w:rPr>
                      <w:rFonts w:ascii="Arial" w:hAnsi="Arial" w:cs="Arial"/>
                      <w:i/>
                      <w:color w:val="000000"/>
                      <w:sz w:val="15"/>
                      <w:szCs w:val="15"/>
                      <w:u w:val="single"/>
                      <w:shd w:val="clear" w:color="auto" w:fill="FFFFFF"/>
                    </w:rPr>
                    <w:t>Informações complementares</w:t>
                  </w:r>
                  <w:r w:rsidRPr="00AE3CC6">
                    <w:rPr>
                      <w:rFonts w:ascii="Arial" w:hAnsi="Arial" w:cs="Arial"/>
                      <w:i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: </w:t>
                  </w:r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Infantil (Programa Criança Feliz e SCFV). </w:t>
                  </w:r>
                  <w:r w:rsidRPr="00AE3CC6">
                    <w:rPr>
                      <w:rFonts w:ascii="Arial" w:hAnsi="Arial" w:cs="Arial"/>
                      <w:b/>
                      <w:i/>
                      <w:color w:val="000000"/>
                      <w:sz w:val="15"/>
                      <w:szCs w:val="15"/>
                      <w:shd w:val="clear" w:color="auto" w:fill="FFFFFF"/>
                    </w:rPr>
                    <w:t>MARCA PRÓ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16,00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3.200,00</w:t>
                  </w:r>
                </w:p>
              </w:tc>
            </w:tr>
          </w:tbl>
          <w:p w:rsidR="00AE3CC6" w:rsidRPr="00036A18" w:rsidRDefault="00AE3CC6" w:rsidP="00AE3CC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 xml:space="preserve">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 N.º 12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AE3CC6" w:rsidRPr="00AE3CC6" w:rsidRDefault="00AE3CC6" w:rsidP="00AE3CC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CC6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B57433">
              <w:rPr>
                <w:rFonts w:ascii="Arial" w:hAnsi="Arial" w:cs="Arial"/>
                <w:sz w:val="16"/>
                <w:szCs w:val="16"/>
              </w:rPr>
              <w:t>MELHOR OFERTA COMÉRCIO DE MERCADORIAS EM GERAL CNPJ nº. 46.531.296/0001-78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. Objeto: </w:t>
            </w:r>
            <w:r w:rsidRPr="00AE3CC6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AE3CC6">
              <w:rPr>
                <w:rFonts w:ascii="Arial" w:hAnsi="Arial" w:cs="Arial"/>
                <w:sz w:val="16"/>
                <w:szCs w:val="16"/>
              </w:rPr>
              <w:t>quisição de brinquedos e artigos para presente conforme solicitação da Secretaria de Assistência Social</w:t>
            </w:r>
            <w:r w:rsidRPr="00AE3CC6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.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 Vigência 24/04/2026. Data de assinatura: 25/04/2025, </w:t>
            </w:r>
            <w:r w:rsidRPr="00B57433">
              <w:rPr>
                <w:rFonts w:ascii="Arial" w:hAnsi="Arial" w:cs="Arial"/>
                <w:sz w:val="16"/>
                <w:szCs w:val="16"/>
              </w:rPr>
              <w:t>MARCOS ANTONI</w:t>
            </w:r>
            <w:r>
              <w:rPr>
                <w:rFonts w:ascii="Arial" w:hAnsi="Arial" w:cs="Arial"/>
                <w:sz w:val="16"/>
                <w:szCs w:val="16"/>
              </w:rPr>
              <w:t xml:space="preserve">O RODRIGUES CPF: 794.377.378-00 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         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AE3CC6" w:rsidRPr="00EF6151" w:rsidTr="00C96B00">
              <w:trPr>
                <w:trHeight w:val="179"/>
              </w:trPr>
              <w:tc>
                <w:tcPr>
                  <w:tcW w:w="421" w:type="dxa"/>
                </w:tcPr>
                <w:p w:rsidR="00AE3CC6" w:rsidRPr="0072270B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AE3CC6" w:rsidRPr="001A1053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E3CC6" w:rsidRPr="00E5371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E3CC6" w:rsidRPr="007A3553" w:rsidTr="00C96B00"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24924</w:t>
                  </w: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i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 xml:space="preserve">Bolsa. </w:t>
                  </w:r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Lona 100% Algodão. Altura: </w:t>
                  </w:r>
                  <w:proofErr w:type="gramStart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35 CM</w:t>
                  </w:r>
                  <w:proofErr w:type="gramEnd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Comprimento: </w:t>
                  </w:r>
                  <w:proofErr w:type="gramStart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 CM</w:t>
                  </w:r>
                  <w:proofErr w:type="gramEnd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Tipo: Alça Dupla. Largura: </w:t>
                  </w:r>
                  <w:proofErr w:type="gramStart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9 CM</w:t>
                  </w:r>
                  <w:proofErr w:type="gramEnd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ESPECIFICAÇÃO: Em lona de algodão impermeável fio 10 na cor cáqui (mostarda), 02 divisões internas, 01 bolso sem lapela, alça regulável em fita de nylon com </w:t>
                  </w:r>
                  <w:proofErr w:type="gramStart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50mm</w:t>
                  </w:r>
                  <w:proofErr w:type="gramEnd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de largura, ombreira em lona, 37cmx31xmx20cm, </w:t>
                  </w:r>
                  <w:proofErr w:type="spellStart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silk</w:t>
                  </w:r>
                  <w:proofErr w:type="spellEnd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 em pintura simples, brasão da prefeitura e logomarca </w:t>
                  </w:r>
                  <w:r w:rsidRPr="00AE3CC6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Programa Criança Feliz e SCFV</w:t>
                  </w:r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AE3CC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KN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eastAsia="Calibri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34,00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340,00</w:t>
                  </w:r>
                </w:p>
              </w:tc>
            </w:tr>
            <w:tr w:rsidR="00AE3CC6" w:rsidRPr="007A3553" w:rsidTr="00C96B00"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04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jc w:val="both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eastAsia="Times New Roman" w:hAnsi="Arial" w:cs="Arial"/>
                      <w:sz w:val="15"/>
                      <w:szCs w:val="15"/>
                    </w:rPr>
                    <w:t>476012</w:t>
                  </w: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 xml:space="preserve">Brinquedo Em Geral. </w:t>
                  </w:r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Material: Vinil. Tipo: Boneca. Cor: Branca. Dimensões: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30 CM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. Componentes: Vestido, Meia E Sapato. Características Adicionais: Membros Articulados, Olhos Móveis, Cabelo. (Programa SCFV).</w:t>
                  </w:r>
                  <w:r w:rsidRPr="00AE3CC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MILK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24,00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2.400,00</w:t>
                  </w:r>
                </w:p>
              </w:tc>
            </w:tr>
            <w:tr w:rsidR="00AE3CC6" w:rsidRPr="007A3553" w:rsidTr="00C96B00"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05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476009</w:t>
                  </w: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color w:val="495057"/>
                      <w:sz w:val="15"/>
                      <w:szCs w:val="15"/>
                      <w:shd w:val="clear" w:color="auto" w:fill="FFFFFF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 xml:space="preserve">Brinquedo Em Geral. </w:t>
                  </w:r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Material: Vinil. Tipo: Boneca</w:t>
                  </w:r>
                </w:p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Cor: Negra. Dimensões: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30 CM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Componentes: Vestido, Meia E Sapato. Características Adicionais: Membros Articulados, Olhos Móveis, Cabelo </w:t>
                  </w:r>
                  <w:proofErr w:type="spell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Encaraco</w:t>
                  </w:r>
                  <w:proofErr w:type="spell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(Programa SCFV). </w:t>
                  </w:r>
                  <w:r w:rsidRPr="00AE3CC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MILK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24,00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2.400,00</w:t>
                  </w:r>
                </w:p>
              </w:tc>
            </w:tr>
            <w:tr w:rsidR="00AE3CC6" w:rsidRPr="007A3553" w:rsidTr="00C96B00"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06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476064</w:t>
                  </w: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 xml:space="preserve">Brinquedo Em Geral. </w:t>
                  </w:r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Material: Plástico. Tipo: Caminhão Bombeiro. Dimensões: 50 X 22 X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22 CM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. Características Adicionais: Escada Com Regulagem De Altura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, Giro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 E Tanque. (Programa SCFV).</w:t>
                  </w:r>
                  <w:r w:rsidRPr="00AE3CC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 xml:space="preserve"> MARCA TRUCK FORCE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28,00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1.400,00</w:t>
                  </w:r>
                </w:p>
              </w:tc>
            </w:tr>
            <w:tr w:rsidR="00AE3CC6" w:rsidRPr="007A3553" w:rsidTr="00C96B00"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11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24926</w:t>
                  </w: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eastAsia="GlyphLessFont" w:hAnsi="Arial" w:cs="Arial"/>
                      <w:sz w:val="15"/>
                      <w:szCs w:val="15"/>
                      <w:lang w:eastAsia="en-US"/>
                    </w:rPr>
                  </w:pPr>
                  <w:r w:rsidRPr="00AE3CC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Lixa Unha. </w:t>
                  </w:r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Lixa: Madeira/Papel. Modelo: Tradicional. Tamanho: 16,5 CM. Características Adicionais: Lado Grosso Para Desgaste e Fina. </w:t>
                  </w:r>
                  <w:r w:rsidRPr="00AE3CC6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 xml:space="preserve">Dia das Mães.  </w:t>
                  </w:r>
                  <w:r w:rsidRPr="00AE3CC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LANDHS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eastAsia="Calibri" w:hAnsi="Arial" w:cs="Arial"/>
                      <w:sz w:val="15"/>
                      <w:szCs w:val="15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0,20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100,00</w:t>
                  </w:r>
                </w:p>
              </w:tc>
            </w:tr>
            <w:tr w:rsidR="00AE3CC6" w:rsidRPr="007A3553" w:rsidTr="00C96B00"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24927</w:t>
                  </w: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3CC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Maquiagem. </w:t>
                  </w:r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Tipo: Batom. Características Adicionais: Manteiga de cacau. </w:t>
                  </w:r>
                  <w:r w:rsidRPr="00AE3CC6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 xml:space="preserve">Dia das Mães. </w:t>
                  </w:r>
                  <w:r w:rsidRPr="00AE3CC6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RO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eastAsia="Calibri" w:hAnsi="Arial" w:cs="Arial"/>
                      <w:sz w:val="15"/>
                      <w:szCs w:val="15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2,50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1.250,00</w:t>
                  </w:r>
                </w:p>
              </w:tc>
            </w:tr>
            <w:tr w:rsidR="00AE3CC6" w:rsidRPr="007A3553" w:rsidTr="00C96B00"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7.890,00</w:t>
                  </w:r>
                </w:p>
              </w:tc>
            </w:tr>
          </w:tbl>
          <w:p w:rsidR="00AE3CC6" w:rsidRPr="00036A18" w:rsidRDefault="00AE3CC6" w:rsidP="00AE3CC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 xml:space="preserve">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 N.º 12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AE3CC6" w:rsidRPr="00AE3CC6" w:rsidRDefault="00AE3CC6" w:rsidP="00AE3CC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CC6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CARLOS EDUARDO DE SOUZA BORGES CNPJ nº. 07.067.855/0001-89. Objeto: </w:t>
            </w:r>
            <w:r w:rsidRPr="00AE3CC6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AE3CC6">
              <w:rPr>
                <w:rFonts w:ascii="Arial" w:hAnsi="Arial" w:cs="Arial"/>
                <w:sz w:val="16"/>
                <w:szCs w:val="16"/>
              </w:rPr>
              <w:t>quisição de brinquedos e artigos para presente conforme solicitação da Secretaria de Assistência Social</w:t>
            </w:r>
            <w:r w:rsidRPr="00AE3CC6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.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 Vigência 24/04/2026. Data de assinatura: 25/04/2025, CARLOS EDUARDO DE SOUZA BORGES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3CC6">
              <w:rPr>
                <w:rFonts w:ascii="Arial" w:hAnsi="Arial" w:cs="Arial"/>
                <w:sz w:val="16"/>
                <w:szCs w:val="16"/>
              </w:rPr>
              <w:t>CPF: 005.959.549-36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         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AE3CC6" w:rsidRPr="00EF6151" w:rsidTr="00C96B00">
              <w:trPr>
                <w:trHeight w:val="179"/>
              </w:trPr>
              <w:tc>
                <w:tcPr>
                  <w:tcW w:w="421" w:type="dxa"/>
                </w:tcPr>
                <w:p w:rsidR="00AE3CC6" w:rsidRPr="0072270B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AE3CC6" w:rsidRPr="001A1053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E3CC6" w:rsidRPr="00E5371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E3CC6" w:rsidRPr="007A3553" w:rsidTr="00AE3CC6">
              <w:trPr>
                <w:trHeight w:val="978"/>
              </w:trPr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618506</w:t>
                  </w: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 xml:space="preserve">Brinquedo Em Geral. </w:t>
                  </w:r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Material: Silicone. Tipo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: Bola. Componentes: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6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 Bolas De Diferentes Tamanhos, Formas E Textura. Características Adicionais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: Indicado Para Crianças A Partir De 6 Meses. </w:t>
                  </w:r>
                  <w:r w:rsidRPr="00AE3CC6">
                    <w:rPr>
                      <w:rFonts w:ascii="Arial" w:hAnsi="Arial" w:cs="Arial"/>
                      <w:i/>
                      <w:color w:val="000000"/>
                      <w:sz w:val="15"/>
                      <w:szCs w:val="15"/>
                      <w:u w:val="single"/>
                      <w:shd w:val="clear" w:color="auto" w:fill="FFFFFF"/>
                    </w:rPr>
                    <w:t xml:space="preserve">Informações complementares: </w:t>
                  </w:r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Infantil, com pino de fechamento, com aproximadamente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23cm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 de diâmetro e peso aproximado de 300gr. (Programa Criança Feliz e SCFV). </w:t>
                  </w:r>
                  <w:r w:rsidRPr="00AE3CC6">
                    <w:rPr>
                      <w:rFonts w:ascii="Arial" w:hAnsi="Arial" w:cs="Arial"/>
                      <w:b/>
                      <w:i/>
                      <w:color w:val="000000"/>
                      <w:sz w:val="15"/>
                      <w:szCs w:val="15"/>
                      <w:shd w:val="clear" w:color="auto" w:fill="FFFFFF"/>
                    </w:rPr>
                    <w:t>MARCA TOYMIX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25,70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5.140,00</w:t>
                  </w:r>
                </w:p>
              </w:tc>
            </w:tr>
          </w:tbl>
          <w:p w:rsidR="00AE3CC6" w:rsidRPr="00036A18" w:rsidRDefault="00AE3CC6" w:rsidP="00AE3CC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 xml:space="preserve">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 N.º 12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AE3CC6" w:rsidRPr="00AE3CC6" w:rsidRDefault="00AE3CC6" w:rsidP="00AE3CC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3CC6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INES DE FÁTIMA RODACOWSKI PEDROSO 02593614960 CNPJ nº. 22.128.354/0001-59. Objeto: </w:t>
            </w:r>
            <w:r w:rsidRPr="00AE3CC6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AE3CC6">
              <w:rPr>
                <w:rFonts w:ascii="Arial" w:hAnsi="Arial" w:cs="Arial"/>
                <w:sz w:val="16"/>
                <w:szCs w:val="16"/>
              </w:rPr>
              <w:t>quisição de brinquedos e artigos para presente conforme solicitação da Secretaria de Assistência Social</w:t>
            </w:r>
            <w:r w:rsidRPr="00AE3CC6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.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 Vigência 24/04/2026. Data de assinatura: 25/04/2025, INES DE FÁTIMA RODACOWSKI PEDROSO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3CC6">
              <w:rPr>
                <w:rFonts w:ascii="Arial" w:hAnsi="Arial" w:cs="Arial"/>
                <w:sz w:val="16"/>
                <w:szCs w:val="16"/>
              </w:rPr>
              <w:t xml:space="preserve">CPF: 025.936.149-80e DARTAGNAN CALIXTO FRAIZ, CPF/MF n.º 171.895.279-15.          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AE3CC6" w:rsidRPr="00EF6151" w:rsidTr="00C96B00">
              <w:trPr>
                <w:trHeight w:val="179"/>
              </w:trPr>
              <w:tc>
                <w:tcPr>
                  <w:tcW w:w="421" w:type="dxa"/>
                </w:tcPr>
                <w:p w:rsidR="00AE3CC6" w:rsidRPr="0072270B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AE3CC6" w:rsidRPr="001A1053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E3CC6" w:rsidRPr="00E5371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E3CC6" w:rsidRPr="007A3553" w:rsidTr="00AE3CC6">
              <w:trPr>
                <w:trHeight w:val="504"/>
              </w:trPr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07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617428</w:t>
                  </w: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 xml:space="preserve">Brinquedo Em Geral. </w:t>
                  </w:r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Material: Plástico. Tipo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2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: Caminhão Caçamba. Características Adicionais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1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: Certificado Inmetro, Atóxico. Tamanho: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20 Cm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(Programa SCFV). </w:t>
                  </w:r>
                  <w:r w:rsidRPr="00AE3CC6">
                    <w:rPr>
                      <w:rFonts w:ascii="Arial" w:hAnsi="Arial" w:cs="Arial"/>
                      <w:b/>
                      <w:i/>
                      <w:color w:val="000000"/>
                      <w:sz w:val="15"/>
                      <w:szCs w:val="15"/>
                      <w:shd w:val="clear" w:color="auto" w:fill="FFFFFF"/>
                    </w:rPr>
                    <w:t>MARCA PA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10,00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500,00</w:t>
                  </w:r>
                </w:p>
              </w:tc>
            </w:tr>
            <w:tr w:rsidR="00AE3CC6" w:rsidRPr="007A3553" w:rsidTr="00AE3CC6">
              <w:trPr>
                <w:trHeight w:val="555"/>
              </w:trPr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08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eastAsia="Times New Roman" w:hAnsi="Arial" w:cs="Arial"/>
                      <w:sz w:val="15"/>
                      <w:szCs w:val="15"/>
                    </w:rPr>
                    <w:t>476063</w:t>
                  </w: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 xml:space="preserve">Brinquedo Em Geral. </w:t>
                  </w:r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Material: Plástico. Tipo: Caminhão Cegonha. Cor: Multicolor. Dimensões: 92 X 17 X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30 CM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Componentes: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4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 Carros. (Programa SCFV). </w:t>
                  </w:r>
                  <w:r w:rsidRPr="00AE3CC6">
                    <w:rPr>
                      <w:rFonts w:ascii="Arial" w:hAnsi="Arial" w:cs="Arial"/>
                      <w:b/>
                      <w:i/>
                      <w:color w:val="000000"/>
                      <w:sz w:val="15"/>
                      <w:szCs w:val="15"/>
                      <w:shd w:val="clear" w:color="auto" w:fill="FFFFFF"/>
                    </w:rPr>
                    <w:t>MARCA HOMEPLAY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28,00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1.400,00</w:t>
                  </w:r>
                </w:p>
              </w:tc>
            </w:tr>
            <w:tr w:rsidR="00AE3CC6" w:rsidRPr="007A3553" w:rsidTr="00AE3CC6">
              <w:trPr>
                <w:trHeight w:val="555"/>
              </w:trPr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lastRenderedPageBreak/>
                    <w:t>09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476061</w:t>
                  </w: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 xml:space="preserve">Brinquedo Em Geral. </w:t>
                  </w:r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Material: Plástico. Tipo: Caminhão Coletor De Lixo. Cor: Multicolor. Dimensões: 50 X 22 X </w:t>
                  </w:r>
                  <w:proofErr w:type="gramStart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>22 CM</w:t>
                  </w:r>
                  <w:proofErr w:type="gramEnd"/>
                  <w:r w:rsidRPr="00AE3CC6">
                    <w:rPr>
                      <w:rFonts w:ascii="Arial" w:hAnsi="Arial" w:cs="Arial"/>
                      <w:color w:val="000000"/>
                      <w:sz w:val="15"/>
                      <w:szCs w:val="15"/>
                      <w:shd w:val="clear" w:color="auto" w:fill="FFFFFF"/>
                    </w:rPr>
                    <w:t xml:space="preserve">. Componentes: Cesto De Lixo E Caçamba. Características Adicionais: Peças De Encaixe. (Programa SCFV). </w:t>
                  </w:r>
                  <w:r w:rsidRPr="00AE3CC6">
                    <w:rPr>
                      <w:rFonts w:ascii="Arial" w:hAnsi="Arial" w:cs="Arial"/>
                      <w:b/>
                      <w:i/>
                      <w:color w:val="000000"/>
                      <w:sz w:val="15"/>
                      <w:szCs w:val="15"/>
                      <w:shd w:val="clear" w:color="auto" w:fill="FFFFFF"/>
                    </w:rPr>
                    <w:t>MARCA ROMA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23,00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1.150,00</w:t>
                  </w:r>
                </w:p>
              </w:tc>
            </w:tr>
            <w:tr w:rsidR="00AE3CC6" w:rsidRPr="007A3553" w:rsidTr="00C96B00">
              <w:trPr>
                <w:trHeight w:val="978"/>
              </w:trPr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13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15583</w:t>
                  </w: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Porta-Retratos. </w:t>
                  </w:r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 Fundo: Madeira. Material Moldura: Madeira. Acabamento Superficial Moldura: Polido. Largura Moldura: </w:t>
                  </w:r>
                  <w:proofErr w:type="gramStart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10 CM</w:t>
                  </w:r>
                  <w:proofErr w:type="gramEnd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Altura Moldura: </w:t>
                  </w:r>
                  <w:proofErr w:type="gramStart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15 CM</w:t>
                  </w:r>
                  <w:proofErr w:type="gramEnd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Características Adicionais: Com Vidro Protetor Transparente. Tratamento Superficial: Não Aplicável. </w:t>
                  </w:r>
                  <w:r w:rsidRPr="00AE3CC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Tema Infantil. </w:t>
                  </w:r>
                  <w:r w:rsidRPr="00AE3CC6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Criança Feliz e SCFV, Projeto Melhor Idade. </w:t>
                  </w:r>
                  <w:r w:rsidRPr="00AE3CC6">
                    <w:rPr>
                      <w:rFonts w:ascii="Arial" w:hAnsi="Arial" w:cs="Arial"/>
                      <w:b/>
                      <w:i/>
                      <w:color w:val="000000"/>
                      <w:sz w:val="15"/>
                      <w:szCs w:val="15"/>
                      <w:shd w:val="clear" w:color="auto" w:fill="FFFFFF"/>
                    </w:rPr>
                    <w:t>MARCA HFMOLDURAS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600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6,00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3.600,00</w:t>
                  </w:r>
                </w:p>
              </w:tc>
            </w:tr>
            <w:tr w:rsidR="00AE3CC6" w:rsidRPr="007A3553" w:rsidTr="00AE3CC6">
              <w:trPr>
                <w:trHeight w:val="381"/>
              </w:trPr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24135</w:t>
                  </w: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Toalha Mão. </w:t>
                  </w:r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Material: Algodão E Poliéster. Cor: Rosa. Comprimento: </w:t>
                  </w:r>
                  <w:proofErr w:type="gramStart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40 CM</w:t>
                  </w:r>
                  <w:proofErr w:type="gramEnd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Largura: </w:t>
                  </w:r>
                  <w:proofErr w:type="gramStart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20 CM</w:t>
                  </w:r>
                  <w:proofErr w:type="gramEnd"/>
                  <w:r w:rsidRPr="00AE3CC6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. </w:t>
                  </w:r>
                  <w:r w:rsidRPr="00AE3CC6">
                    <w:rPr>
                      <w:rFonts w:ascii="Arial" w:hAnsi="Arial" w:cs="Arial"/>
                      <w:b/>
                      <w:sz w:val="15"/>
                      <w:szCs w:val="15"/>
                      <w:shd w:val="clear" w:color="auto" w:fill="FFFFFF"/>
                    </w:rPr>
                    <w:t xml:space="preserve">Dia das Mães. </w:t>
                  </w:r>
                  <w:r w:rsidRPr="00AE3CC6">
                    <w:rPr>
                      <w:rFonts w:ascii="Arial" w:hAnsi="Arial" w:cs="Arial"/>
                      <w:b/>
                      <w:i/>
                      <w:color w:val="000000"/>
                      <w:sz w:val="15"/>
                      <w:szCs w:val="15"/>
                      <w:shd w:val="clear" w:color="auto" w:fill="FFFFFF"/>
                    </w:rPr>
                    <w:t>MARCA LAUNE HAUS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eastAsia="Calibri" w:hAnsi="Arial" w:cs="Arial"/>
                      <w:sz w:val="15"/>
                      <w:szCs w:val="15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eastAsia="Calibri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2,60</w:t>
                  </w: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1.300,00</w:t>
                  </w:r>
                </w:p>
              </w:tc>
            </w:tr>
            <w:tr w:rsidR="00AE3CC6" w:rsidRPr="007A3553" w:rsidTr="00AE3CC6">
              <w:trPr>
                <w:trHeight w:val="273"/>
              </w:trPr>
              <w:tc>
                <w:tcPr>
                  <w:tcW w:w="421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961" w:type="dxa"/>
                </w:tcPr>
                <w:p w:rsidR="00AE3CC6" w:rsidRPr="00AE3CC6" w:rsidRDefault="00AE3CC6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50" w:type="dxa"/>
                </w:tcPr>
                <w:p w:rsidR="00AE3CC6" w:rsidRPr="00AE3CC6" w:rsidRDefault="00AE3CC6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AE3CC6">
                    <w:rPr>
                      <w:rFonts w:ascii="Arial" w:hAnsi="Arial" w:cs="Arial"/>
                      <w:sz w:val="15"/>
                      <w:szCs w:val="15"/>
                    </w:rPr>
                    <w:t>7.950,00</w:t>
                  </w:r>
                </w:p>
              </w:tc>
            </w:tr>
          </w:tbl>
          <w:p w:rsidR="00AE3CC6" w:rsidRPr="00036A18" w:rsidRDefault="00AE3CC6" w:rsidP="00AE3CC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027/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 xml:space="preserve">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 N.º 12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AE3CC6" w:rsidRPr="00855331" w:rsidRDefault="00AE3CC6" w:rsidP="00AE3CC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5331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="00855331" w:rsidRPr="00855331">
              <w:rPr>
                <w:rFonts w:ascii="Arial" w:hAnsi="Arial" w:cs="Arial"/>
                <w:sz w:val="16"/>
                <w:szCs w:val="16"/>
              </w:rPr>
              <w:t>MVA BRINDES CNPJ nº. 44.590.575/0001-87</w:t>
            </w:r>
            <w:r w:rsidRPr="00855331">
              <w:rPr>
                <w:rFonts w:ascii="Arial" w:hAnsi="Arial" w:cs="Arial"/>
                <w:sz w:val="16"/>
                <w:szCs w:val="16"/>
              </w:rPr>
              <w:t xml:space="preserve">. Objeto: </w:t>
            </w:r>
            <w:r w:rsidRPr="00855331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855331">
              <w:rPr>
                <w:rFonts w:ascii="Arial" w:hAnsi="Arial" w:cs="Arial"/>
                <w:sz w:val="16"/>
                <w:szCs w:val="16"/>
              </w:rPr>
              <w:t>quisição de brinquedos e artigos para presente conforme solicitação da Secretaria de Assistência Social</w:t>
            </w:r>
            <w:r w:rsidRPr="00855331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.</w:t>
            </w:r>
            <w:r w:rsidRPr="00855331">
              <w:rPr>
                <w:rFonts w:ascii="Arial" w:hAnsi="Arial" w:cs="Arial"/>
                <w:sz w:val="16"/>
                <w:szCs w:val="16"/>
              </w:rPr>
              <w:t xml:space="preserve"> Vigência 24/04/2026. Data de assinatura: 25/04/2025, </w:t>
            </w:r>
            <w:r w:rsidR="00855331" w:rsidRPr="00855331">
              <w:rPr>
                <w:rFonts w:ascii="Arial" w:hAnsi="Arial" w:cs="Arial"/>
                <w:sz w:val="16"/>
                <w:szCs w:val="16"/>
              </w:rPr>
              <w:t>ALEX POSSAMAI</w:t>
            </w:r>
            <w:r w:rsidR="00855331" w:rsidRPr="008553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5331">
              <w:rPr>
                <w:rFonts w:ascii="Arial" w:hAnsi="Arial" w:cs="Arial"/>
                <w:sz w:val="16"/>
                <w:szCs w:val="16"/>
              </w:rPr>
              <w:t xml:space="preserve">CPF: </w:t>
            </w:r>
            <w:r w:rsidR="00855331" w:rsidRPr="00855331">
              <w:rPr>
                <w:rFonts w:ascii="Arial" w:hAnsi="Arial" w:cs="Arial"/>
                <w:sz w:val="16"/>
                <w:szCs w:val="16"/>
              </w:rPr>
              <w:t>062.478.789-31</w:t>
            </w:r>
            <w:r w:rsidR="00855331" w:rsidRPr="008553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5331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          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50"/>
              <w:gridCol w:w="4961"/>
              <w:gridCol w:w="567"/>
              <w:gridCol w:w="709"/>
              <w:gridCol w:w="709"/>
              <w:gridCol w:w="850"/>
            </w:tblGrid>
            <w:tr w:rsidR="00AE3CC6" w:rsidRPr="00EF6151" w:rsidTr="00C96B00">
              <w:trPr>
                <w:trHeight w:val="179"/>
              </w:trPr>
              <w:tc>
                <w:tcPr>
                  <w:tcW w:w="421" w:type="dxa"/>
                </w:tcPr>
                <w:p w:rsidR="00AE3CC6" w:rsidRPr="0072270B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850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CATSERV</w:t>
                  </w:r>
                </w:p>
              </w:tc>
              <w:tc>
                <w:tcPr>
                  <w:tcW w:w="4961" w:type="dxa"/>
                </w:tcPr>
                <w:p w:rsidR="00AE3CC6" w:rsidRPr="001A1053" w:rsidRDefault="00AE3CC6" w:rsidP="00C96B00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E3CC6" w:rsidRPr="00E5371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E3CC6" w:rsidRPr="001A1053" w:rsidRDefault="00AE3CC6" w:rsidP="00C96B00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855331" w:rsidRPr="007A3553" w:rsidTr="00C96B00">
              <w:trPr>
                <w:trHeight w:val="504"/>
              </w:trPr>
              <w:tc>
                <w:tcPr>
                  <w:tcW w:w="421" w:type="dxa"/>
                </w:tcPr>
                <w:p w:rsidR="00855331" w:rsidRPr="00855331" w:rsidRDefault="00855331" w:rsidP="00C96B00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bookmarkStart w:id="0" w:name="_GoBack" w:colFirst="0" w:colLast="6"/>
                  <w:r w:rsidRPr="00855331">
                    <w:rPr>
                      <w:rFonts w:ascii="Arial" w:hAnsi="Arial" w:cs="Arial"/>
                      <w:sz w:val="15"/>
                      <w:szCs w:val="15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855331" w:rsidRPr="00855331" w:rsidRDefault="00855331" w:rsidP="00C96B00">
                  <w:pPr>
                    <w:pStyle w:val="SemEspaamento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55331">
                    <w:rPr>
                      <w:rFonts w:ascii="Arial" w:hAnsi="Arial" w:cs="Arial"/>
                      <w:sz w:val="15"/>
                      <w:szCs w:val="15"/>
                    </w:rPr>
                    <w:t>18450</w:t>
                  </w:r>
                </w:p>
              </w:tc>
              <w:tc>
                <w:tcPr>
                  <w:tcW w:w="4961" w:type="dxa"/>
                </w:tcPr>
                <w:p w:rsidR="00855331" w:rsidRPr="00855331" w:rsidRDefault="00855331" w:rsidP="00C96B0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855331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Caneca. </w:t>
                  </w:r>
                  <w:r w:rsidRPr="00855331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Material: Acrílico. Capacidade: 300 ML. Cor: Branca. Características Adicionais: Personalização Em Silkscreen. Especificação complementar:</w:t>
                  </w:r>
                  <w:r w:rsidRPr="00855331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Personalizada com as logo do Programa </w:t>
                  </w:r>
                  <w:r w:rsidRPr="00855331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Criança Feliz e SCFV. </w:t>
                  </w:r>
                  <w:r w:rsidRPr="00855331">
                    <w:rPr>
                      <w:rFonts w:ascii="Arial" w:hAnsi="Arial" w:cs="Arial"/>
                      <w:b/>
                      <w:bCs/>
                      <w:i/>
                      <w:sz w:val="15"/>
                      <w:szCs w:val="15"/>
                    </w:rPr>
                    <w:t>MARCA PRÓPRIA</w:t>
                  </w:r>
                </w:p>
              </w:tc>
              <w:tc>
                <w:tcPr>
                  <w:tcW w:w="567" w:type="dxa"/>
                </w:tcPr>
                <w:p w:rsidR="00855331" w:rsidRPr="00855331" w:rsidRDefault="00855331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55331">
                    <w:rPr>
                      <w:rFonts w:ascii="Arial" w:hAnsi="Arial" w:cs="Arial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709" w:type="dxa"/>
                </w:tcPr>
                <w:p w:rsidR="00855331" w:rsidRPr="00855331" w:rsidRDefault="00855331" w:rsidP="00C96B00">
                  <w:pPr>
                    <w:pStyle w:val="SemEspaamento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55331">
                    <w:rPr>
                      <w:rFonts w:ascii="Arial" w:hAnsi="Arial" w:cs="Arial"/>
                      <w:sz w:val="15"/>
                      <w:szCs w:val="15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855331" w:rsidRPr="00855331" w:rsidRDefault="00855331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55331">
                    <w:rPr>
                      <w:rFonts w:ascii="Arial" w:hAnsi="Arial" w:cs="Arial"/>
                      <w:sz w:val="15"/>
                      <w:szCs w:val="15"/>
                    </w:rPr>
                    <w:t>6,60</w:t>
                  </w:r>
                </w:p>
              </w:tc>
              <w:tc>
                <w:tcPr>
                  <w:tcW w:w="850" w:type="dxa"/>
                </w:tcPr>
                <w:p w:rsidR="00855331" w:rsidRPr="00855331" w:rsidRDefault="00855331" w:rsidP="00C96B00">
                  <w:pPr>
                    <w:pStyle w:val="SemEspaamento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855331">
                    <w:rPr>
                      <w:rFonts w:ascii="Arial" w:hAnsi="Arial" w:cs="Arial"/>
                      <w:sz w:val="15"/>
                      <w:szCs w:val="15"/>
                    </w:rPr>
                    <w:t>1.320,00</w:t>
                  </w:r>
                </w:p>
              </w:tc>
            </w:tr>
            <w:bookmarkEnd w:id="0"/>
          </w:tbl>
          <w:p w:rsidR="00AE3CC6" w:rsidRPr="00B1049C" w:rsidRDefault="00AE3CC6" w:rsidP="00AE3CC6">
            <w:pPr>
              <w:pStyle w:val="PargrafodaLista"/>
              <w:widowControl w:val="0"/>
              <w:suppressAutoHyphens/>
              <w:ind w:left="-461" w:right="-5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E3CC6" w:rsidRDefault="00AE3CC6" w:rsidP="00AE3CC6"/>
    <w:p w:rsidR="00AE3CC6" w:rsidRDefault="00AE3CC6" w:rsidP="00AE3CC6"/>
    <w:p w:rsidR="00AE3CC6" w:rsidRDefault="00AE3CC6" w:rsidP="00AE3CC6"/>
    <w:p w:rsidR="00AE3CC6" w:rsidRDefault="00AE3CC6" w:rsidP="00AE3CC6"/>
    <w:p w:rsidR="00AE3CC6" w:rsidRDefault="00AE3CC6" w:rsidP="00AE3CC6"/>
    <w:p w:rsidR="00AE3CC6" w:rsidRDefault="00AE3CC6" w:rsidP="00AE3CC6"/>
    <w:p w:rsidR="00AE3CC6" w:rsidRDefault="00AE3CC6" w:rsidP="00AE3CC6"/>
    <w:p w:rsidR="00AE3CC6" w:rsidRDefault="00AE3CC6" w:rsidP="00AE3CC6"/>
    <w:p w:rsidR="00AE3CC6" w:rsidRDefault="00AE3CC6" w:rsidP="00AE3CC6"/>
    <w:p w:rsidR="00AE3CC6" w:rsidRDefault="00AE3CC6" w:rsidP="00AE3CC6"/>
    <w:p w:rsidR="00AE3CC6" w:rsidRDefault="00AE3CC6" w:rsidP="00AE3CC6"/>
    <w:p w:rsidR="00AE3CC6" w:rsidRDefault="00AE3CC6" w:rsidP="00AE3CC6"/>
    <w:p w:rsidR="00AE3CC6" w:rsidRDefault="00AE3CC6" w:rsidP="00AE3CC6"/>
    <w:p w:rsidR="00AE3CC6" w:rsidRDefault="00AE3CC6" w:rsidP="00AE3CC6"/>
    <w:p w:rsidR="00AE3CC6" w:rsidRDefault="00AE3CC6" w:rsidP="00AE3CC6"/>
    <w:p w:rsidR="00890B57" w:rsidRDefault="00890B57"/>
    <w:sectPr w:rsidR="00890B57" w:rsidSect="00A6563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lyphLessFon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34" w:rsidRDefault="00855331">
    <w:pPr>
      <w:pStyle w:val="Rodap"/>
      <w:pBdr>
        <w:bottom w:val="single" w:sz="12" w:space="1" w:color="auto"/>
      </w:pBdr>
      <w:jc w:val="center"/>
      <w:rPr>
        <w:sz w:val="20"/>
      </w:rPr>
    </w:pPr>
  </w:p>
  <w:p w:rsidR="00A65634" w:rsidRPr="00A7116E" w:rsidRDefault="0085533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</w:t>
    </w:r>
    <w:r w:rsidRPr="00A7116E">
      <w:rPr>
        <w:rFonts w:ascii="Arial Rounded MT Bold" w:hAnsi="Arial Rounded MT Bold" w:cstheme="minorHAnsi"/>
        <w:sz w:val="14"/>
        <w:szCs w:val="14"/>
      </w:rPr>
      <w:t>á 983 – Centro – CEP: 86.490-000 – Fone: (43)35518301. CNPJ: 76.968.064/0001-42</w:t>
    </w:r>
  </w:p>
  <w:p w:rsidR="00A65634" w:rsidRPr="00A7116E" w:rsidRDefault="0085533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34" w:rsidRPr="00A7116E" w:rsidRDefault="0085533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8984923" wp14:editId="453A888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65634" w:rsidRPr="00A7116E" w:rsidRDefault="0085533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65634" w:rsidRDefault="00855331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D3"/>
    <w:rsid w:val="00855331"/>
    <w:rsid w:val="00890B57"/>
    <w:rsid w:val="00923ED3"/>
    <w:rsid w:val="00A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AE3C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E3C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AE3CC6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E3C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E3C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E3CC6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AE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E3C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E3CC6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A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AE3CC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C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AE3C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E3C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AE3CC6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E3CC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E3CC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E3CC6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AE3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E3CC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E3CC6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A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AE3CC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1040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2025-04-28T11:16:00Z</dcterms:created>
  <dcterms:modified xsi:type="dcterms:W3CDTF">2025-04-28T11:28:00Z</dcterms:modified>
</cp:coreProperties>
</file>