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F33CD5" w:rsidRPr="00B43CFB" w:rsidTr="00F33CD5">
        <w:trPr>
          <w:trHeight w:val="1817"/>
        </w:trPr>
        <w:tc>
          <w:tcPr>
            <w:tcW w:w="5778" w:type="dxa"/>
          </w:tcPr>
          <w:p w:rsidR="00F33CD5" w:rsidRPr="00BF1037" w:rsidRDefault="00F33CD5" w:rsidP="00F77C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F33CD5" w:rsidRPr="00F33CD5" w:rsidRDefault="00F33CD5" w:rsidP="00F77C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CD5">
              <w:rPr>
                <w:rFonts w:ascii="Arial" w:hAnsi="Arial" w:cs="Arial"/>
                <w:b/>
                <w:sz w:val="16"/>
                <w:szCs w:val="16"/>
              </w:rPr>
              <w:t>EXTRATO PROCESSO LICITATÓRIO CONCORRÊNCIA ELETRÔNICA Nº. 001/2024 – CONTRATO 020/2024.</w:t>
            </w:r>
          </w:p>
          <w:p w:rsidR="00F33CD5" w:rsidRPr="006A5FF8" w:rsidRDefault="00F33CD5" w:rsidP="0082614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33CD5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LUXEH ENGENHARIA LTDA CNPJ nº. 49.207.596/0001-94. Objeto: contratação de empresa com comprovação de especialização técnica e registro no respectivo órgão da classe para a execução de obras de construção civil de implantação de Capela Mortuária Pública no Distrito Rural de </w:t>
            </w:r>
            <w:proofErr w:type="spellStart"/>
            <w:r w:rsidRPr="00F33CD5">
              <w:rPr>
                <w:rFonts w:ascii="Arial" w:hAnsi="Arial" w:cs="Arial"/>
                <w:sz w:val="16"/>
                <w:szCs w:val="16"/>
              </w:rPr>
              <w:t>Triolândia</w:t>
            </w:r>
            <w:proofErr w:type="spellEnd"/>
            <w:r w:rsidRPr="00F33CD5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 w:rsidR="0082614D">
              <w:rPr>
                <w:rFonts w:ascii="Arial" w:hAnsi="Arial" w:cs="Arial"/>
                <w:sz w:val="16"/>
                <w:szCs w:val="16"/>
              </w:rPr>
              <w:t>15/02/2024</w:t>
            </w:r>
            <w:r w:rsidRPr="00F33CD5">
              <w:rPr>
                <w:rFonts w:ascii="Arial" w:hAnsi="Arial" w:cs="Arial"/>
                <w:sz w:val="16"/>
                <w:szCs w:val="16"/>
              </w:rPr>
              <w:t>. Vigência: 15/02/202</w:t>
            </w:r>
            <w:r w:rsidR="0082614D">
              <w:rPr>
                <w:rFonts w:ascii="Arial" w:hAnsi="Arial" w:cs="Arial"/>
                <w:sz w:val="16"/>
                <w:szCs w:val="16"/>
              </w:rPr>
              <w:t>12 meses</w:t>
            </w:r>
            <w:bookmarkStart w:id="0" w:name="_GoBack"/>
            <w:bookmarkEnd w:id="0"/>
            <w:r w:rsidRPr="00F33CD5">
              <w:rPr>
                <w:rFonts w:ascii="Arial" w:hAnsi="Arial" w:cs="Arial"/>
                <w:sz w:val="16"/>
                <w:szCs w:val="16"/>
              </w:rPr>
              <w:t>4. Prazo Execução: 180 dias. Valor: R$ 269.500,00. BRUNO VIANA VARASCHINCPF: 093.646.599-96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3CD5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</w:t>
            </w:r>
            <w:r w:rsidRPr="00F33CD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:rsidR="00F33CD5" w:rsidRDefault="00F33CD5" w:rsidP="00F33CD5"/>
    <w:p w:rsidR="00F33CD5" w:rsidRDefault="00F33CD5" w:rsidP="00F33CD5"/>
    <w:p w:rsidR="00F33CD5" w:rsidRDefault="00F33CD5" w:rsidP="00F33CD5"/>
    <w:p w:rsidR="00F33CD5" w:rsidRDefault="00F33CD5" w:rsidP="00F33CD5"/>
    <w:p w:rsidR="00F33CD5" w:rsidRDefault="00F33CD5" w:rsidP="00F33CD5"/>
    <w:p w:rsidR="00F33CD5" w:rsidRDefault="00F33CD5" w:rsidP="00F33CD5"/>
    <w:p w:rsidR="00F33CD5" w:rsidRDefault="00F33CD5" w:rsidP="00F33CD5"/>
    <w:p w:rsidR="00F33CD5" w:rsidRDefault="00F33CD5" w:rsidP="00F33CD5"/>
    <w:p w:rsidR="002A7920" w:rsidRDefault="002A7920"/>
    <w:sectPr w:rsidR="002A7920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48"/>
    <w:rsid w:val="00196F48"/>
    <w:rsid w:val="002A7920"/>
    <w:rsid w:val="0082614D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3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33C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33C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3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33C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33C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2024-05-27T13:32:00Z</dcterms:created>
  <dcterms:modified xsi:type="dcterms:W3CDTF">2024-05-27T13:37:00Z</dcterms:modified>
</cp:coreProperties>
</file>